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30835" w14:textId="77777777" w:rsidR="00BE4C01" w:rsidRPr="008A1C76" w:rsidRDefault="00BE4C01" w:rsidP="00BE4C01">
      <w:p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Pr="008A1C76">
        <w:rPr>
          <w:sz w:val="28"/>
          <w:szCs w:val="28"/>
        </w:rPr>
        <w:t>y finansiel regulering</w:t>
      </w:r>
      <w:r>
        <w:rPr>
          <w:sz w:val="28"/>
          <w:szCs w:val="28"/>
        </w:rPr>
        <w:t xml:space="preserve"> for fondsmæglerselskaber</w:t>
      </w:r>
      <w:r w:rsidRPr="008A1C76">
        <w:rPr>
          <w:sz w:val="28"/>
          <w:szCs w:val="28"/>
        </w:rPr>
        <w:t xml:space="preserve"> </w:t>
      </w:r>
    </w:p>
    <w:p w14:paraId="300EB7E4" w14:textId="7B4E1273" w:rsidR="00BE4C01" w:rsidRDefault="00BE4C01" w:rsidP="00BE4C01">
      <w:pPr>
        <w:jc w:val="both"/>
      </w:pPr>
      <w:r>
        <w:t>O</w:t>
      </w:r>
      <w:r w:rsidRPr="005A5267">
        <w:t xml:space="preserve">pdatering for </w:t>
      </w:r>
      <w:r w:rsidR="00330767">
        <w:t>december</w:t>
      </w:r>
      <w:r w:rsidRPr="005A5267">
        <w:t xml:space="preserve"> </w:t>
      </w:r>
      <w:r>
        <w:t xml:space="preserve">måned </w:t>
      </w:r>
      <w:r w:rsidRPr="005A5267">
        <w:t>202</w:t>
      </w:r>
      <w:r w:rsidR="00330767">
        <w:t>4</w:t>
      </w:r>
    </w:p>
    <w:p w14:paraId="4FC69AF0" w14:textId="77777777" w:rsidR="00DD48DD" w:rsidRDefault="00DD48D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4C01" w14:paraId="00166C89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6AB36AD5" w14:textId="79E26B0B" w:rsidR="00BE4C01" w:rsidRPr="005945AC" w:rsidRDefault="005945AC">
            <w:pPr>
              <w:rPr>
                <w:b/>
                <w:bCs/>
              </w:rPr>
            </w:pPr>
            <w:r w:rsidRPr="005945AC">
              <w:rPr>
                <w:b/>
                <w:bCs/>
              </w:rPr>
              <w:t>OVERBLIK</w:t>
            </w:r>
          </w:p>
        </w:tc>
      </w:tr>
      <w:tr w:rsidR="00BE4C01" w14:paraId="19A8CD66" w14:textId="77777777" w:rsidTr="00BE4C01">
        <w:tc>
          <w:tcPr>
            <w:tcW w:w="9628" w:type="dxa"/>
          </w:tcPr>
          <w:p w14:paraId="27716C0D" w14:textId="77777777" w:rsidR="00BE4C01" w:rsidRDefault="00BE4C01"/>
          <w:p w14:paraId="6949BCDB" w14:textId="050B3A5B" w:rsidR="00CC2602" w:rsidRDefault="00CA1817">
            <w:r>
              <w:t>Lovændringer vedrørende nedskrivningsegnede passiver</w:t>
            </w:r>
            <w:r w:rsidR="00F03E1D">
              <w:t xml:space="preserve"> o</w:t>
            </w:r>
            <w:r w:rsidR="00E91373">
              <w:t xml:space="preserve">g oplysninger til Finanstilsynet m.v.: </w:t>
            </w:r>
            <w:hyperlink w:anchor="A" w:history="1">
              <w:r w:rsidR="00E91373" w:rsidRPr="00E91373">
                <w:rPr>
                  <w:rStyle w:val="Hyperlink"/>
                </w:rPr>
                <w:t>link</w:t>
              </w:r>
            </w:hyperlink>
          </w:p>
          <w:p w14:paraId="64C82288" w14:textId="77777777" w:rsidR="00E91373" w:rsidRDefault="00E91373"/>
          <w:p w14:paraId="26F62EBD" w14:textId="1AD86529" w:rsidR="00E91373" w:rsidRDefault="00410F3E">
            <w:r>
              <w:t>Lovændringer vedrørende</w:t>
            </w:r>
            <w:r w:rsidR="004D50C2">
              <w:t xml:space="preserve"> indberetning af måltal for det underrepræsenterede køn i ledelsen: </w:t>
            </w:r>
            <w:hyperlink w:anchor="B" w:history="1">
              <w:r w:rsidR="004D50C2" w:rsidRPr="004D50C2">
                <w:rPr>
                  <w:rStyle w:val="Hyperlink"/>
                </w:rPr>
                <w:t>link</w:t>
              </w:r>
            </w:hyperlink>
          </w:p>
          <w:p w14:paraId="71D46CA4" w14:textId="77777777" w:rsidR="004D50C2" w:rsidRDefault="004D50C2"/>
          <w:p w14:paraId="53057EF4" w14:textId="324FA5E0" w:rsidR="004D50C2" w:rsidRDefault="004D50C2">
            <w:r>
              <w:t>Opdatering af b</w:t>
            </w:r>
            <w:r w:rsidRPr="004D50C2">
              <w:t>ekendtgørelse om finansielle virksomheders m.v. pligt til at offentliggøre Finanstilsynets vurdering af virksomheden m.v</w:t>
            </w:r>
            <w:r w:rsidR="00F53FE6">
              <w:t>.</w:t>
            </w:r>
            <w:r>
              <w:t xml:space="preserve">: </w:t>
            </w:r>
            <w:hyperlink w:anchor="C" w:history="1">
              <w:r w:rsidRPr="004D50C2">
                <w:rPr>
                  <w:rStyle w:val="Hyperlink"/>
                </w:rPr>
                <w:t>link</w:t>
              </w:r>
            </w:hyperlink>
          </w:p>
          <w:p w14:paraId="37AC2A2B" w14:textId="77777777" w:rsidR="004D50C2" w:rsidRDefault="004D50C2"/>
          <w:p w14:paraId="176534F4" w14:textId="5383CAF8" w:rsidR="00F53FE6" w:rsidRPr="00F53FE6" w:rsidRDefault="00F53FE6" w:rsidP="00F53FE6">
            <w:pPr>
              <w:jc w:val="both"/>
            </w:pPr>
            <w:r>
              <w:t>Opdatering af b</w:t>
            </w:r>
            <w:r w:rsidRPr="00F53FE6">
              <w:t>ekendtgørelse om opgørelse af kvalificerede andele</w:t>
            </w:r>
            <w:r>
              <w:t xml:space="preserve">: </w:t>
            </w:r>
            <w:hyperlink w:anchor="D" w:history="1">
              <w:r w:rsidRPr="00F53FE6">
                <w:rPr>
                  <w:rStyle w:val="Hyperlink"/>
                </w:rPr>
                <w:t>link</w:t>
              </w:r>
            </w:hyperlink>
          </w:p>
          <w:p w14:paraId="75B3D690" w14:textId="77777777" w:rsidR="004D50C2" w:rsidRDefault="004D50C2"/>
          <w:p w14:paraId="7F9CBA25" w14:textId="5FBDA9B9" w:rsidR="00F53FE6" w:rsidRDefault="00F539F3">
            <w:r>
              <w:t xml:space="preserve">Opdatering af bekendtgørelse om koncerninterne transaktioner: </w:t>
            </w:r>
            <w:hyperlink w:anchor="E" w:history="1">
              <w:r w:rsidR="00D83413" w:rsidRPr="00D83413">
                <w:rPr>
                  <w:rStyle w:val="Hyperlink"/>
                </w:rPr>
                <w:t>link</w:t>
              </w:r>
            </w:hyperlink>
          </w:p>
          <w:p w14:paraId="46DF7AF2" w14:textId="77777777" w:rsidR="00D83413" w:rsidRDefault="00D83413"/>
          <w:p w14:paraId="6F3F8C20" w14:textId="1D5CC0C5" w:rsidR="00D83413" w:rsidRDefault="00D83413">
            <w:r>
              <w:t xml:space="preserve">Ændringer i revisionsbekendtgørelsen: </w:t>
            </w:r>
            <w:hyperlink w:anchor="F" w:history="1">
              <w:r w:rsidR="00B270AF" w:rsidRPr="00B270AF">
                <w:rPr>
                  <w:rStyle w:val="Hyperlink"/>
                </w:rPr>
                <w:t>link</w:t>
              </w:r>
            </w:hyperlink>
          </w:p>
          <w:p w14:paraId="09AF5BA8" w14:textId="77777777" w:rsidR="00B270AF" w:rsidRDefault="00B270AF"/>
          <w:p w14:paraId="0E956DAB" w14:textId="7F0A0B04" w:rsidR="00B270AF" w:rsidRDefault="00052E54">
            <w:r>
              <w:t xml:space="preserve">Ny bekendtgørelse om ledelse og styring af fondsmæglerselskaber: </w:t>
            </w:r>
            <w:hyperlink w:anchor="G" w:history="1">
              <w:r w:rsidRPr="00052E54">
                <w:rPr>
                  <w:rStyle w:val="Hyperlink"/>
                </w:rPr>
                <w:t>link</w:t>
              </w:r>
            </w:hyperlink>
          </w:p>
          <w:p w14:paraId="5FE60325" w14:textId="77777777" w:rsidR="00CC2602" w:rsidRDefault="00CC2602"/>
          <w:p w14:paraId="04AD86AB" w14:textId="39BDBDC8" w:rsidR="00E47DE6" w:rsidRDefault="00E47DE6">
            <w:r>
              <w:t xml:space="preserve">Ændringer i SFDR artikel 13 m.v.: </w:t>
            </w:r>
            <w:hyperlink w:anchor="H" w:history="1">
              <w:r w:rsidRPr="00E47DE6">
                <w:rPr>
                  <w:rStyle w:val="Hyperlink"/>
                </w:rPr>
                <w:t>link</w:t>
              </w:r>
            </w:hyperlink>
          </w:p>
          <w:p w14:paraId="3FB62754" w14:textId="77777777" w:rsidR="00E47DE6" w:rsidRDefault="00E47DE6"/>
          <w:p w14:paraId="55BBED3A" w14:textId="20CC8FD2" w:rsidR="00E47DE6" w:rsidRDefault="00570CC7">
            <w:r>
              <w:t>Uddybende k</w:t>
            </w:r>
            <w:r w:rsidR="0050456E">
              <w:t>rav til regist</w:t>
            </w:r>
            <w:r>
              <w:t xml:space="preserve">re under DORA: </w:t>
            </w:r>
            <w:hyperlink w:anchor="I" w:history="1">
              <w:r w:rsidRPr="00570CC7">
                <w:rPr>
                  <w:rStyle w:val="Hyperlink"/>
                </w:rPr>
                <w:t>link</w:t>
              </w:r>
            </w:hyperlink>
          </w:p>
          <w:p w14:paraId="5E8FD091" w14:textId="77777777" w:rsidR="003E4929" w:rsidRDefault="003E4929"/>
          <w:p w14:paraId="36C90F1B" w14:textId="51924A57" w:rsidR="003E4929" w:rsidRDefault="003E4929">
            <w:r>
              <w:t xml:space="preserve">Nye </w:t>
            </w:r>
            <w:r w:rsidR="00395D8E">
              <w:t xml:space="preserve">tekniske rapporteringskrav fra EBA: </w:t>
            </w:r>
            <w:hyperlink w:anchor="J" w:history="1">
              <w:r w:rsidR="00395D8E" w:rsidRPr="00395D8E">
                <w:rPr>
                  <w:rStyle w:val="Hyperlink"/>
                </w:rPr>
                <w:t>link</w:t>
              </w:r>
            </w:hyperlink>
          </w:p>
          <w:p w14:paraId="69BD83A4" w14:textId="77777777" w:rsidR="00E47DE6" w:rsidRDefault="00E47DE6"/>
          <w:p w14:paraId="37EC8EEA" w14:textId="4B4F899C" w:rsidR="00D423B8" w:rsidRDefault="00D423B8">
            <w:r>
              <w:t xml:space="preserve">Nye retningslinjer under </w:t>
            </w:r>
            <w:proofErr w:type="spellStart"/>
            <w:r>
              <w:t>MiCA</w:t>
            </w:r>
            <w:proofErr w:type="spellEnd"/>
            <w:r>
              <w:t xml:space="preserve"> fra ESMA: </w:t>
            </w:r>
            <w:hyperlink w:anchor="K" w:history="1">
              <w:r w:rsidRPr="00D423B8">
                <w:rPr>
                  <w:rStyle w:val="Hyperlink"/>
                </w:rPr>
                <w:t>link</w:t>
              </w:r>
            </w:hyperlink>
          </w:p>
          <w:p w14:paraId="774E809C" w14:textId="77777777" w:rsidR="00D423B8" w:rsidRDefault="00D423B8"/>
        </w:tc>
      </w:tr>
      <w:tr w:rsidR="00BE4C01" w14:paraId="531CF982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7BDC7261" w14:textId="6D8F2E20" w:rsidR="00BE4C01" w:rsidRPr="005945AC" w:rsidRDefault="00BE4C01" w:rsidP="00BE4C01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DANSK REGULERING</w:t>
            </w:r>
          </w:p>
        </w:tc>
      </w:tr>
      <w:tr w:rsidR="00BE4C01" w14:paraId="31E09EBE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199CDD40" w14:textId="62239D98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 xml:space="preserve"> Love</w:t>
            </w:r>
          </w:p>
        </w:tc>
      </w:tr>
      <w:tr w:rsidR="00BE4C01" w14:paraId="786DA9D6" w14:textId="77777777" w:rsidTr="00BE4C01">
        <w:tc>
          <w:tcPr>
            <w:tcW w:w="9628" w:type="dxa"/>
          </w:tcPr>
          <w:p w14:paraId="6786877B" w14:textId="77777777" w:rsidR="00BE4C01" w:rsidRDefault="00BE4C01"/>
          <w:p w14:paraId="0ECD1B67" w14:textId="011B0A98" w:rsidR="00B8397B" w:rsidRPr="00B8397B" w:rsidRDefault="00503F11" w:rsidP="00B8397B">
            <w:pPr>
              <w:rPr>
                <w:b/>
                <w:bCs/>
              </w:rPr>
            </w:pPr>
            <w:bookmarkStart w:id="0" w:name="A"/>
            <w:r>
              <w:rPr>
                <w:b/>
                <w:bCs/>
              </w:rPr>
              <w:t xml:space="preserve">Lov </w:t>
            </w:r>
            <w:r w:rsidRPr="00503F11">
              <w:rPr>
                <w:b/>
                <w:bCs/>
              </w:rPr>
              <w:t>nr</w:t>
            </w:r>
            <w:r>
              <w:rPr>
                <w:b/>
                <w:bCs/>
              </w:rPr>
              <w:t>.</w:t>
            </w:r>
            <w:r w:rsidRPr="00503F11">
              <w:rPr>
                <w:b/>
                <w:bCs/>
              </w:rPr>
              <w:t xml:space="preserve"> 1666 af 30</w:t>
            </w:r>
            <w:r>
              <w:rPr>
                <w:b/>
                <w:bCs/>
              </w:rPr>
              <w:t xml:space="preserve">. december </w:t>
            </w:r>
            <w:r w:rsidRPr="00503F11">
              <w:rPr>
                <w:b/>
                <w:bCs/>
              </w:rPr>
              <w:t>2024</w:t>
            </w:r>
            <w:r w:rsidR="00B8397B" w:rsidRPr="00B8397B">
              <w:rPr>
                <w:b/>
                <w:bCs/>
              </w:rPr>
              <w:t xml:space="preserve"> om ændring af lov om betalingskonti, lov om finansiel virksomhed, lov om kapitalmarkeder, lov om Danmarks Nationalbank og forskellige andre love (Adgang til en basal </w:t>
            </w:r>
            <w:proofErr w:type="spellStart"/>
            <w:r w:rsidR="00B8397B" w:rsidRPr="00B8397B">
              <w:rPr>
                <w:b/>
                <w:bCs/>
              </w:rPr>
              <w:t>erhvervskonto</w:t>
            </w:r>
            <w:proofErr w:type="spellEnd"/>
            <w:r w:rsidR="00B8397B" w:rsidRPr="00B8397B">
              <w:rPr>
                <w:b/>
                <w:bCs/>
              </w:rPr>
              <w:t xml:space="preserve"> for erhvervsdrivende og foreninger, tilsyn efter forordning om europæiske grønne obligationer og åremålsansættelse for direktionen i Danmarks Nationalbank m.v.)</w:t>
            </w:r>
          </w:p>
          <w:bookmarkEnd w:id="0"/>
          <w:p w14:paraId="4514D3A3" w14:textId="77777777" w:rsidR="00AD5E07" w:rsidRDefault="00AD5E07" w:rsidP="00B8397B"/>
          <w:p w14:paraId="4F7ED88B" w14:textId="4BAD4AE8" w:rsidR="00B8397B" w:rsidRPr="00B8397B" w:rsidRDefault="00B8397B" w:rsidP="00B8397B">
            <w:r w:rsidRPr="00B8397B">
              <w:t>Loven implementere</w:t>
            </w:r>
            <w:r w:rsidR="0086335B">
              <w:t>r delvis</w:t>
            </w:r>
            <w:r w:rsidRPr="00B8397B">
              <w:t xml:space="preserve"> Europa-Parlamentets og Rådets direktiv (EU) 2024/1174 (Daisy Chains-direktivet). Dette </w:t>
            </w:r>
            <w:r w:rsidR="003D1BA0">
              <w:t xml:space="preserve">omfatter </w:t>
            </w:r>
            <w:r w:rsidRPr="00B8397B">
              <w:t>ændringer i reglerne om nedskrivningsegnede passiver</w:t>
            </w:r>
            <w:r w:rsidR="00BF5C50">
              <w:t xml:space="preserve">, herunder for </w:t>
            </w:r>
            <w:r w:rsidRPr="00B8397B">
              <w:t xml:space="preserve">fondsmæglerselskaber. </w:t>
            </w:r>
            <w:r w:rsidR="00D55F4B">
              <w:t xml:space="preserve">Virksomheder, </w:t>
            </w:r>
            <w:r w:rsidR="00D55F4B" w:rsidRPr="00D55F4B">
              <w:t>der ifølge deres afviklingsplan eller koncernafviklingsplan skal tages under konkursbehandling</w:t>
            </w:r>
            <w:r w:rsidR="00D55F4B">
              <w:t xml:space="preserve">, vil i udgangspunktet blive fritaget fra krav </w:t>
            </w:r>
            <w:r w:rsidR="001525FB">
              <w:t>om</w:t>
            </w:r>
            <w:r w:rsidR="00D55F4B">
              <w:t xml:space="preserve"> nedskrivningsegnede passiver.</w:t>
            </w:r>
            <w:r w:rsidRPr="00B8397B">
              <w:t xml:space="preserve"> </w:t>
            </w:r>
          </w:p>
          <w:p w14:paraId="08CD2D0F" w14:textId="77777777" w:rsidR="00537663" w:rsidRDefault="00537663" w:rsidP="00B8397B"/>
          <w:p w14:paraId="7605C7BD" w14:textId="17909ED3" w:rsidR="00671C09" w:rsidRDefault="009417B4" w:rsidP="00B8397B">
            <w:r>
              <w:t>I</w:t>
            </w:r>
            <w:r w:rsidR="00F952C3">
              <w:t xml:space="preserve"> relation til</w:t>
            </w:r>
            <w:r w:rsidR="00F952C3" w:rsidRPr="00F952C3">
              <w:t xml:space="preserve"> Finanstilsynets vurdering af, om en virksomhed er nødlidende eller forventeligt nødlidende</w:t>
            </w:r>
            <w:r w:rsidR="00D23F74">
              <w:t>,</w:t>
            </w:r>
            <w:r w:rsidR="00B37695">
              <w:t xml:space="preserve"> </w:t>
            </w:r>
            <w:r>
              <w:t xml:space="preserve">fastsætter loven </w:t>
            </w:r>
            <w:r w:rsidR="00B37695">
              <w:t>en</w:t>
            </w:r>
            <w:r w:rsidR="00B07DB6">
              <w:t xml:space="preserve"> </w:t>
            </w:r>
            <w:r w:rsidR="00B37695">
              <w:t>hjemmel</w:t>
            </w:r>
            <w:r w:rsidR="00EB2CC6">
              <w:t xml:space="preserve"> </w:t>
            </w:r>
            <w:r w:rsidR="00D23F74">
              <w:t>til de</w:t>
            </w:r>
            <w:r w:rsidR="00DE32DA">
              <w:t xml:space="preserve"> </w:t>
            </w:r>
            <w:r w:rsidR="008642EC">
              <w:t>hidtil</w:t>
            </w:r>
            <w:r w:rsidR="00D23F74">
              <w:t xml:space="preserve"> gældende</w:t>
            </w:r>
            <w:r w:rsidR="009D1D05">
              <w:t xml:space="preserve"> krav i</w:t>
            </w:r>
            <w:r w:rsidR="00D23F74">
              <w:t xml:space="preserve"> </w:t>
            </w:r>
            <w:r w:rsidR="009D1D05" w:rsidRPr="009D1D05">
              <w:t>bekendtgørelse om afviklingsplanlægning og afviklingsberedskab</w:t>
            </w:r>
            <w:r w:rsidR="00973E27">
              <w:t>. Det sker</w:t>
            </w:r>
            <w:r w:rsidR="00D23F74">
              <w:t xml:space="preserve"> </w:t>
            </w:r>
            <w:r w:rsidR="008642EC">
              <w:t xml:space="preserve">vedrørende </w:t>
            </w:r>
            <w:r w:rsidR="004B6DF0" w:rsidRPr="004B6DF0">
              <w:t>indsende</w:t>
            </w:r>
            <w:r w:rsidR="00D23F74">
              <w:t>lse</w:t>
            </w:r>
            <w:r w:rsidR="004B6DF0" w:rsidRPr="004B6DF0">
              <w:t xml:space="preserve"> </w:t>
            </w:r>
            <w:r w:rsidR="00D23F74">
              <w:t xml:space="preserve">af </w:t>
            </w:r>
            <w:r w:rsidR="004B6DF0" w:rsidRPr="004B6DF0">
              <w:t xml:space="preserve">oplysninger </w:t>
            </w:r>
            <w:r w:rsidR="009D1D05">
              <w:t xml:space="preserve">til Finanstilsynet </w:t>
            </w:r>
            <w:r w:rsidR="004B6DF0" w:rsidRPr="004B6DF0">
              <w:t>og fristerne herfor, samt forpligtelsen til at have systemer, som understøtter en effektiv afvikling</w:t>
            </w:r>
            <w:r w:rsidR="00D23F74">
              <w:t>.</w:t>
            </w:r>
          </w:p>
          <w:p w14:paraId="0E0722DE" w14:textId="77777777" w:rsidR="00671C09" w:rsidRDefault="00671C09" w:rsidP="00B8397B"/>
          <w:p w14:paraId="5A3F7CB6" w14:textId="533F0B74" w:rsidR="006A4C11" w:rsidRDefault="0086335B" w:rsidP="00B8397B">
            <w:r>
              <w:lastRenderedPageBreak/>
              <w:t>Derudover</w:t>
            </w:r>
            <w:r w:rsidR="00D04A59">
              <w:t xml:space="preserve"> ændrer loven bl.a. i lov om kapitalmarkeder</w:t>
            </w:r>
            <w:r w:rsidR="006A4C11" w:rsidRPr="006A4C11">
              <w:t>,</w:t>
            </w:r>
            <w:r w:rsidR="00D04A59">
              <w:t xml:space="preserve"> således</w:t>
            </w:r>
            <w:r w:rsidR="006A4C11" w:rsidRPr="006A4C11">
              <w:t xml:space="preserve"> at </w:t>
            </w:r>
            <w:r w:rsidR="00CB41B4">
              <w:t>fondsmæglerselskaber</w:t>
            </w:r>
            <w:r w:rsidR="006A4C11" w:rsidRPr="006A4C11">
              <w:t xml:space="preserve"> ikke længere vil skulle offentliggøre reaktioner m.v. fra Finanstilsynet, som ikke vedrører deres tilladelseskrævende aktivitet. </w:t>
            </w:r>
            <w:r w:rsidR="00CB41B4">
              <w:t xml:space="preserve">Et eksempel kan være </w:t>
            </w:r>
            <w:r w:rsidR="006A4C11" w:rsidRPr="006A4C11">
              <w:t xml:space="preserve">en påtale for manglende overholdelse af reglerne om førelse af insiderlister. </w:t>
            </w:r>
          </w:p>
          <w:p w14:paraId="3F8A487D" w14:textId="77777777" w:rsidR="006A4C11" w:rsidRDefault="006A4C11" w:rsidP="00B8397B"/>
          <w:p w14:paraId="50461F24" w14:textId="7A86F7B8" w:rsidR="00B8397B" w:rsidRPr="00B8397B" w:rsidRDefault="006A4C11" w:rsidP="00B8397B">
            <w:r>
              <w:t xml:space="preserve">De nævnte ændringer træder i kraft </w:t>
            </w:r>
            <w:r w:rsidR="00B8397B" w:rsidRPr="00B8397B">
              <w:t>den 1. januar 2025.</w:t>
            </w:r>
          </w:p>
          <w:p w14:paraId="78469547" w14:textId="77777777" w:rsidR="00F2456D" w:rsidRDefault="00F2456D" w:rsidP="00B8397B"/>
          <w:p w14:paraId="2D258F55" w14:textId="3C50868D" w:rsidR="00B8397B" w:rsidRPr="00B8397B" w:rsidRDefault="00B8397B" w:rsidP="00B8397B">
            <w:r w:rsidRPr="00B8397B">
              <w:t xml:space="preserve">(Vedtaget den 19. december 2024, </w:t>
            </w:r>
            <w:hyperlink r:id="rId8" w:history="1">
              <w:r w:rsidRPr="00B8397B">
                <w:rPr>
                  <w:rStyle w:val="Hyperlink"/>
                </w:rPr>
                <w:t>link</w:t>
              </w:r>
            </w:hyperlink>
            <w:r w:rsidRPr="00B8397B">
              <w:t>)</w:t>
            </w:r>
          </w:p>
          <w:p w14:paraId="7113C3D6" w14:textId="77777777" w:rsidR="00B8397B" w:rsidRDefault="00B8397B"/>
          <w:p w14:paraId="1B98A9FC" w14:textId="013B817E" w:rsidR="003C2C7B" w:rsidRPr="003C2C7B" w:rsidRDefault="00EC7A1B" w:rsidP="003C2C7B">
            <w:pPr>
              <w:rPr>
                <w:b/>
                <w:bCs/>
              </w:rPr>
            </w:pPr>
            <w:bookmarkStart w:id="1" w:name="B"/>
            <w:r>
              <w:rPr>
                <w:b/>
                <w:bCs/>
              </w:rPr>
              <w:t>Lov</w:t>
            </w:r>
            <w:r w:rsidRPr="00EC7A1B">
              <w:rPr>
                <w:b/>
                <w:bCs/>
              </w:rPr>
              <w:t xml:space="preserve"> nr</w:t>
            </w:r>
            <w:r>
              <w:rPr>
                <w:b/>
                <w:bCs/>
              </w:rPr>
              <w:t>.</w:t>
            </w:r>
            <w:r w:rsidRPr="00EC7A1B">
              <w:rPr>
                <w:b/>
                <w:bCs/>
              </w:rPr>
              <w:t xml:space="preserve"> 1668 af 30</w:t>
            </w:r>
            <w:r>
              <w:rPr>
                <w:b/>
                <w:bCs/>
              </w:rPr>
              <w:t xml:space="preserve">. december </w:t>
            </w:r>
            <w:r w:rsidRPr="00EC7A1B">
              <w:rPr>
                <w:b/>
                <w:bCs/>
              </w:rPr>
              <w:t>2024</w:t>
            </w:r>
            <w:r w:rsidR="003C2C7B" w:rsidRPr="003C2C7B">
              <w:rPr>
                <w:b/>
                <w:bCs/>
              </w:rPr>
              <w:t xml:space="preserve"> om ændring af selskabsloven, årsregnskabsloven, lov om erhvervsfremme, lov om finansiel virksomhed og forskellige andre love (Ændring af visse love og bestemmelser på Erhvervsministeriets område som følge af opgavebortfald)</w:t>
            </w:r>
            <w:bookmarkEnd w:id="1"/>
          </w:p>
          <w:p w14:paraId="640D805E" w14:textId="77777777" w:rsidR="00414689" w:rsidRDefault="00414689" w:rsidP="003C2C7B"/>
          <w:p w14:paraId="39CA2610" w14:textId="488CCE3E" w:rsidR="003C2C7B" w:rsidRPr="003C2C7B" w:rsidRDefault="00C919B7" w:rsidP="003C2C7B">
            <w:r>
              <w:t>Loven</w:t>
            </w:r>
            <w:r w:rsidR="00565742">
              <w:t xml:space="preserve"> ophæver bl.a. </w:t>
            </w:r>
            <w:r w:rsidR="00AB2489">
              <w:t>kravet om</w:t>
            </w:r>
            <w:r w:rsidR="006D5CAB">
              <w:t xml:space="preserve">, </w:t>
            </w:r>
            <w:r w:rsidR="003C2C7B" w:rsidRPr="003C2C7B">
              <w:t xml:space="preserve">at </w:t>
            </w:r>
            <w:r w:rsidR="006D5CAB">
              <w:t>visse fondsmæglerselskaber</w:t>
            </w:r>
            <w:r w:rsidR="003C2C7B" w:rsidRPr="003C2C7B">
              <w:t xml:space="preserve"> årligt skal foretage indberetninger af oplysninger</w:t>
            </w:r>
            <w:r w:rsidR="006D5CAB">
              <w:t xml:space="preserve"> til Finanstilsynet</w:t>
            </w:r>
            <w:r w:rsidR="003C2C7B" w:rsidRPr="003C2C7B">
              <w:t xml:space="preserve"> relateret til deres forpligtelser til at opstille måltal for det underrepræsenterede køn i ledelsen.</w:t>
            </w:r>
          </w:p>
          <w:p w14:paraId="7D3C47DD" w14:textId="77777777" w:rsidR="00D002A8" w:rsidRDefault="00D002A8" w:rsidP="003C2C7B"/>
          <w:p w14:paraId="6AD670A7" w14:textId="43547C27" w:rsidR="003C2C7B" w:rsidRPr="003C2C7B" w:rsidRDefault="002A753E" w:rsidP="003C2C7B">
            <w:r>
              <w:t xml:space="preserve">Ændringen har virkning </w:t>
            </w:r>
            <w:r w:rsidRPr="002A753E">
              <w:t>for regnskabsår, der begynder den 1. januar 2024 eller senere</w:t>
            </w:r>
            <w:r>
              <w:t>.</w:t>
            </w:r>
          </w:p>
          <w:p w14:paraId="0ED860E1" w14:textId="77777777" w:rsidR="00414689" w:rsidRDefault="00414689" w:rsidP="003C2C7B"/>
          <w:p w14:paraId="3FACA796" w14:textId="46ADA67A" w:rsidR="003C2C7B" w:rsidRPr="003C2C7B" w:rsidRDefault="003C2C7B" w:rsidP="003C2C7B">
            <w:r w:rsidRPr="003C2C7B">
              <w:t xml:space="preserve">(Vedtaget den 19. december 2024, </w:t>
            </w:r>
            <w:hyperlink r:id="rId9" w:history="1">
              <w:r w:rsidRPr="003C2C7B">
                <w:rPr>
                  <w:rStyle w:val="Hyperlink"/>
                </w:rPr>
                <w:t>link</w:t>
              </w:r>
            </w:hyperlink>
            <w:r w:rsidRPr="003C2C7B">
              <w:t>)</w:t>
            </w:r>
          </w:p>
          <w:p w14:paraId="1136A53C" w14:textId="77777777" w:rsidR="00B8397B" w:rsidRDefault="00B8397B"/>
        </w:tc>
      </w:tr>
      <w:tr w:rsidR="00BE4C01" w14:paraId="46B86ADE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22197C0B" w14:textId="3757CD86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lastRenderedPageBreak/>
              <w:t>Bekendtgørelse</w:t>
            </w:r>
            <w:r w:rsidR="00136D9B">
              <w:rPr>
                <w:b/>
                <w:bCs/>
              </w:rPr>
              <w:t>r</w:t>
            </w:r>
            <w:r w:rsidRPr="005945AC">
              <w:rPr>
                <w:b/>
                <w:bCs/>
              </w:rPr>
              <w:t xml:space="preserve"> m.v.</w:t>
            </w:r>
          </w:p>
        </w:tc>
      </w:tr>
      <w:tr w:rsidR="00BE4C01" w14:paraId="159B5602" w14:textId="77777777" w:rsidTr="00BE4C01">
        <w:tc>
          <w:tcPr>
            <w:tcW w:w="9628" w:type="dxa"/>
          </w:tcPr>
          <w:p w14:paraId="12A3298E" w14:textId="77777777" w:rsidR="00BE4C01" w:rsidRDefault="00BE4C01"/>
          <w:p w14:paraId="2F012362" w14:textId="77777777" w:rsidR="009E4559" w:rsidRDefault="009E4559"/>
          <w:p w14:paraId="43EEC37B" w14:textId="77777777" w:rsidR="00F87429" w:rsidRPr="009254B4" w:rsidRDefault="00F87429" w:rsidP="00894CF9">
            <w:pPr>
              <w:jc w:val="both"/>
              <w:rPr>
                <w:b/>
                <w:bCs/>
              </w:rPr>
            </w:pPr>
            <w:bookmarkStart w:id="2" w:name="C"/>
            <w:r w:rsidRPr="009254B4">
              <w:rPr>
                <w:b/>
                <w:bCs/>
              </w:rPr>
              <w:t>Bekendtgørelse</w:t>
            </w:r>
            <w:r>
              <w:rPr>
                <w:b/>
                <w:bCs/>
              </w:rPr>
              <w:t xml:space="preserve"> </w:t>
            </w:r>
            <w:r w:rsidRPr="00872FDC">
              <w:rPr>
                <w:b/>
                <w:bCs/>
              </w:rPr>
              <w:t>nr</w:t>
            </w:r>
            <w:r>
              <w:rPr>
                <w:b/>
                <w:bCs/>
              </w:rPr>
              <w:t>.</w:t>
            </w:r>
            <w:r w:rsidRPr="00872FDC">
              <w:rPr>
                <w:b/>
                <w:bCs/>
              </w:rPr>
              <w:t xml:space="preserve"> 1389 af 4</w:t>
            </w:r>
            <w:r>
              <w:rPr>
                <w:b/>
                <w:bCs/>
              </w:rPr>
              <w:t xml:space="preserve">. december </w:t>
            </w:r>
            <w:r w:rsidRPr="00872FDC">
              <w:rPr>
                <w:b/>
                <w:bCs/>
              </w:rPr>
              <w:t>2024</w:t>
            </w:r>
            <w:r w:rsidRPr="009254B4">
              <w:rPr>
                <w:b/>
                <w:bCs/>
              </w:rPr>
              <w:t xml:space="preserve"> om finansielle virksomheders m.v. pligt til at offentliggøre Finanstilsynets vurdering af virksomheden m.v.</w:t>
            </w:r>
            <w:bookmarkEnd w:id="2"/>
          </w:p>
          <w:p w14:paraId="4769ACF2" w14:textId="77777777" w:rsidR="00414689" w:rsidRDefault="00414689" w:rsidP="00894CF9">
            <w:pPr>
              <w:jc w:val="both"/>
            </w:pPr>
          </w:p>
          <w:p w14:paraId="4C0F3FC4" w14:textId="77777777" w:rsidR="004C7C01" w:rsidRDefault="003918FD" w:rsidP="00894CF9">
            <w:pPr>
              <w:jc w:val="both"/>
            </w:pPr>
            <w:r>
              <w:t xml:space="preserve">I forhold til den hidtidige bekendtgørelse </w:t>
            </w:r>
            <w:r w:rsidR="00F87429">
              <w:t xml:space="preserve">foretages </w:t>
            </w:r>
            <w:r w:rsidR="00F851DD">
              <w:t>ændringer</w:t>
            </w:r>
            <w:r w:rsidR="00F87429">
              <w:t xml:space="preserve"> pga. DORA-forordningen</w:t>
            </w:r>
            <w:r w:rsidR="002066A6">
              <w:t xml:space="preserve">. Derudover indeholder den </w:t>
            </w:r>
            <w:r w:rsidR="00D75F4A">
              <w:t xml:space="preserve">forskellige </w:t>
            </w:r>
            <w:r w:rsidR="00245D16">
              <w:t xml:space="preserve">andre </w:t>
            </w:r>
            <w:r w:rsidR="00D75F4A">
              <w:t>ændringer</w:t>
            </w:r>
            <w:r w:rsidR="00B217F2">
              <w:t xml:space="preserve"> i forhold til</w:t>
            </w:r>
            <w:r w:rsidR="004B3F93">
              <w:t xml:space="preserve"> eksempelvis</w:t>
            </w:r>
            <w:r w:rsidR="00B217F2">
              <w:t xml:space="preserve"> anvendelsesområdet</w:t>
            </w:r>
            <w:r w:rsidR="004B3F93">
              <w:t>, der ikke</w:t>
            </w:r>
            <w:r w:rsidR="00F058A7">
              <w:t xml:space="preserve"> er relevante for fondsmæglerselskaber</w:t>
            </w:r>
            <w:r w:rsidR="00D75F4A">
              <w:t>.</w:t>
            </w:r>
            <w:r w:rsidR="00F058A7">
              <w:t xml:space="preserve"> </w:t>
            </w:r>
          </w:p>
          <w:p w14:paraId="3A730B5B" w14:textId="77777777" w:rsidR="004C7C01" w:rsidRDefault="004C7C01" w:rsidP="00894CF9">
            <w:pPr>
              <w:jc w:val="both"/>
            </w:pPr>
          </w:p>
          <w:p w14:paraId="325A37D6" w14:textId="000E2A22" w:rsidR="00F87429" w:rsidRDefault="00F87429" w:rsidP="00894CF9">
            <w:pPr>
              <w:jc w:val="both"/>
            </w:pPr>
            <w:r w:rsidRPr="004C3D95">
              <w:t>Bekendtgørelsen træder i kraft den 1. januar 2025.</w:t>
            </w:r>
            <w:r>
              <w:t xml:space="preserve"> En bekendtgørelse udstedt dagen inden – bekendtgørelse </w:t>
            </w:r>
            <w:r w:rsidRPr="00B1665E">
              <w:t>nr</w:t>
            </w:r>
            <w:r>
              <w:t>.</w:t>
            </w:r>
            <w:r w:rsidRPr="00B1665E">
              <w:t xml:space="preserve"> 1355 af 3</w:t>
            </w:r>
            <w:r>
              <w:t xml:space="preserve">. december </w:t>
            </w:r>
            <w:r w:rsidRPr="00B1665E">
              <w:t>2024</w:t>
            </w:r>
            <w:r>
              <w:t xml:space="preserve"> – ophæves også.</w:t>
            </w:r>
          </w:p>
          <w:p w14:paraId="5F988D02" w14:textId="77777777" w:rsidR="00414689" w:rsidRDefault="00414689" w:rsidP="00894CF9">
            <w:pPr>
              <w:jc w:val="both"/>
            </w:pPr>
          </w:p>
          <w:p w14:paraId="4A1CE755" w14:textId="1F998539" w:rsidR="00F87429" w:rsidRDefault="00F87429" w:rsidP="00894CF9">
            <w:pPr>
              <w:jc w:val="both"/>
            </w:pPr>
            <w:r>
              <w:t xml:space="preserve">(Offentliggjort den 6. december 2024, </w:t>
            </w:r>
            <w:hyperlink r:id="rId10" w:history="1">
              <w:r w:rsidRPr="009254B4">
                <w:rPr>
                  <w:rStyle w:val="Hyperlink"/>
                </w:rPr>
                <w:t>link</w:t>
              </w:r>
            </w:hyperlink>
            <w:r>
              <w:t>)</w:t>
            </w:r>
          </w:p>
          <w:p w14:paraId="428D5B27" w14:textId="77777777" w:rsidR="00F87429" w:rsidRDefault="00F87429"/>
          <w:p w14:paraId="195C656B" w14:textId="77777777" w:rsidR="005F51D0" w:rsidRDefault="005F51D0" w:rsidP="005F51D0">
            <w:pPr>
              <w:jc w:val="both"/>
              <w:rPr>
                <w:b/>
                <w:bCs/>
              </w:rPr>
            </w:pPr>
            <w:bookmarkStart w:id="3" w:name="D"/>
            <w:r w:rsidRPr="008D3F3B">
              <w:rPr>
                <w:b/>
                <w:bCs/>
              </w:rPr>
              <w:t xml:space="preserve">Bekendtgørelse </w:t>
            </w:r>
            <w:r>
              <w:rPr>
                <w:b/>
                <w:bCs/>
              </w:rPr>
              <w:t>n</w:t>
            </w:r>
            <w:r w:rsidRPr="008D3F3B">
              <w:rPr>
                <w:b/>
                <w:bCs/>
              </w:rPr>
              <w:t>r</w:t>
            </w:r>
            <w:r>
              <w:rPr>
                <w:b/>
                <w:bCs/>
              </w:rPr>
              <w:t>.</w:t>
            </w:r>
            <w:r w:rsidRPr="008D3F3B">
              <w:rPr>
                <w:b/>
                <w:bCs/>
              </w:rPr>
              <w:t xml:space="preserve"> 1422 af 5</w:t>
            </w:r>
            <w:r>
              <w:rPr>
                <w:b/>
                <w:bCs/>
              </w:rPr>
              <w:t xml:space="preserve">. december </w:t>
            </w:r>
            <w:r w:rsidRPr="008D3F3B">
              <w:rPr>
                <w:b/>
                <w:bCs/>
              </w:rPr>
              <w:t>2024</w:t>
            </w:r>
            <w:r>
              <w:rPr>
                <w:b/>
                <w:bCs/>
              </w:rPr>
              <w:t xml:space="preserve"> </w:t>
            </w:r>
            <w:r w:rsidRPr="008D3F3B">
              <w:rPr>
                <w:b/>
                <w:bCs/>
              </w:rPr>
              <w:t>om opgørelse af kvalificerede andele</w:t>
            </w:r>
          </w:p>
          <w:bookmarkEnd w:id="3"/>
          <w:p w14:paraId="0AE21020" w14:textId="77777777" w:rsidR="004F219B" w:rsidRDefault="004F219B" w:rsidP="005F51D0">
            <w:pPr>
              <w:jc w:val="both"/>
            </w:pPr>
          </w:p>
          <w:p w14:paraId="08AB682E" w14:textId="52E8A7DB" w:rsidR="005F51D0" w:rsidRDefault="005F51D0" w:rsidP="005F51D0">
            <w:pPr>
              <w:jc w:val="both"/>
            </w:pPr>
            <w:r>
              <w:t>Bekendtgørelsen opdateres med nye lovhenvisninger samt en ændring af § 9, stk. 2</w:t>
            </w:r>
            <w:r w:rsidR="004354D1">
              <w:t xml:space="preserve">, om modervirksomheders </w:t>
            </w:r>
            <w:r w:rsidR="005A668F">
              <w:t xml:space="preserve">fritagelse fra </w:t>
            </w:r>
            <w:r w:rsidR="004354D1">
              <w:t>sammenlægning af andele</w:t>
            </w:r>
            <w:r>
              <w:t>. Bekendtgørelsen træder i kraft 1. januar 2025 og ophæver samtidig bekendtgørelse nr. 277 af 3. april 2009.</w:t>
            </w:r>
          </w:p>
          <w:p w14:paraId="32A4B75F" w14:textId="77777777" w:rsidR="00414689" w:rsidRDefault="00414689" w:rsidP="005F51D0">
            <w:pPr>
              <w:jc w:val="both"/>
            </w:pPr>
          </w:p>
          <w:p w14:paraId="32C869EE" w14:textId="3C1CA9A3" w:rsidR="005F51D0" w:rsidRDefault="005F51D0" w:rsidP="005F51D0">
            <w:pPr>
              <w:jc w:val="both"/>
            </w:pPr>
            <w:r>
              <w:t xml:space="preserve">(Offentliggjort den 10. december 2024, </w:t>
            </w:r>
            <w:hyperlink r:id="rId11" w:history="1">
              <w:r w:rsidRPr="00D57F41">
                <w:rPr>
                  <w:rStyle w:val="Hyperlink"/>
                </w:rPr>
                <w:t>link</w:t>
              </w:r>
            </w:hyperlink>
            <w:r>
              <w:t>)</w:t>
            </w:r>
          </w:p>
          <w:p w14:paraId="4ED4D663" w14:textId="77777777" w:rsidR="00F87429" w:rsidRDefault="00F87429"/>
          <w:p w14:paraId="56222BA7" w14:textId="77777777" w:rsidR="00171B04" w:rsidRPr="00171B04" w:rsidRDefault="00171B04" w:rsidP="00171B04">
            <w:pPr>
              <w:rPr>
                <w:b/>
                <w:bCs/>
              </w:rPr>
            </w:pPr>
            <w:bookmarkStart w:id="4" w:name="E"/>
            <w:r w:rsidRPr="00171B04">
              <w:rPr>
                <w:b/>
                <w:bCs/>
              </w:rPr>
              <w:t>Bekendtgørelse nr. 1426 af 5. december 2024 om koncerninterne transaktioner</w:t>
            </w:r>
            <w:bookmarkEnd w:id="4"/>
          </w:p>
          <w:p w14:paraId="5C206F5B" w14:textId="77777777" w:rsidR="00414689" w:rsidRDefault="00414689" w:rsidP="00171B04"/>
          <w:p w14:paraId="77F18C8B" w14:textId="1A0CD3F9" w:rsidR="00171B04" w:rsidRPr="00171B04" w:rsidRDefault="00171B04" w:rsidP="00171B04">
            <w:r w:rsidRPr="00171B04">
              <w:t xml:space="preserve">Udover nye lovhenvisninger er bekendtgørelsen opdateret med en </w:t>
            </w:r>
            <w:proofErr w:type="spellStart"/>
            <w:r w:rsidRPr="00171B04">
              <w:t>nyaffattelse</w:t>
            </w:r>
            <w:proofErr w:type="spellEnd"/>
            <w:r w:rsidRPr="00171B04">
              <w:t xml:space="preserve"> af §§ 7 og 8 om rapporteringskrav for gruppe 1-forsikringsselskaber</w:t>
            </w:r>
            <w:r w:rsidR="006B6A00">
              <w:t xml:space="preserve"> (</w:t>
            </w:r>
            <w:r w:rsidR="00C84515">
              <w:t>sidstnævnte vedrører</w:t>
            </w:r>
            <w:r w:rsidR="006B6A00">
              <w:t xml:space="preserve"> således ikke fondsmæglerselskaber)</w:t>
            </w:r>
            <w:r w:rsidRPr="00171B04">
              <w:t>.</w:t>
            </w:r>
          </w:p>
          <w:p w14:paraId="08A99966" w14:textId="77777777" w:rsidR="00171B04" w:rsidRPr="00171B04" w:rsidRDefault="00171B04" w:rsidP="00171B04">
            <w:r w:rsidRPr="00171B04">
              <w:lastRenderedPageBreak/>
              <w:t>Bekendtgørelsen træder i kraft den 1. januar 2025 og ophæver samtidig bekendtgørelse nr. 904 af 1. september 2004.</w:t>
            </w:r>
          </w:p>
          <w:p w14:paraId="7B9D70D8" w14:textId="77777777" w:rsidR="00414689" w:rsidRDefault="00414689" w:rsidP="00171B04"/>
          <w:p w14:paraId="6D6E9CEB" w14:textId="635CD67D" w:rsidR="00171B04" w:rsidRPr="00171B04" w:rsidRDefault="00171B04" w:rsidP="00171B04">
            <w:pPr>
              <w:rPr>
                <w:b/>
                <w:bCs/>
              </w:rPr>
            </w:pPr>
            <w:r w:rsidRPr="00171B04">
              <w:t xml:space="preserve">(Offentliggjort den 10. december 2024, </w:t>
            </w:r>
            <w:hyperlink r:id="rId12" w:history="1">
              <w:r w:rsidRPr="00171B04">
                <w:rPr>
                  <w:rStyle w:val="Hyperlink"/>
                </w:rPr>
                <w:t>link</w:t>
              </w:r>
            </w:hyperlink>
            <w:r w:rsidRPr="00171B04">
              <w:t>)</w:t>
            </w:r>
          </w:p>
          <w:p w14:paraId="4786CC6C" w14:textId="77777777" w:rsidR="00171B04" w:rsidRPr="00171B04" w:rsidRDefault="00171B04" w:rsidP="00171B04">
            <w:pPr>
              <w:rPr>
                <w:b/>
                <w:bCs/>
              </w:rPr>
            </w:pPr>
          </w:p>
          <w:p w14:paraId="2E7662FD" w14:textId="77777777" w:rsidR="009270EF" w:rsidRPr="009270EF" w:rsidRDefault="009270EF" w:rsidP="009270EF">
            <w:pPr>
              <w:rPr>
                <w:b/>
                <w:bCs/>
              </w:rPr>
            </w:pPr>
            <w:bookmarkStart w:id="5" w:name="F"/>
            <w:r w:rsidRPr="009270EF">
              <w:rPr>
                <w:b/>
                <w:bCs/>
              </w:rPr>
              <w:t>Bekendtgørelse nr. 1529 af 5. december 2024 om revisionens gennemførelse i finansielle virksomheder m.v. samt finansielle koncerner</w:t>
            </w:r>
          </w:p>
          <w:bookmarkEnd w:id="5"/>
          <w:p w14:paraId="0E368D04" w14:textId="77777777" w:rsidR="00414689" w:rsidRDefault="00414689" w:rsidP="009270EF"/>
          <w:p w14:paraId="0EC04913" w14:textId="3DFE7439" w:rsidR="009270EF" w:rsidRPr="009270EF" w:rsidRDefault="009270EF" w:rsidP="009270EF">
            <w:r w:rsidRPr="009270EF">
              <w:t>Bekendtgørelsen opdateres med nye henvisninger til love, bekendtgørelser og EU-regulering</w:t>
            </w:r>
            <w:r w:rsidR="001B5052">
              <w:t>. Derudover opdateres den</w:t>
            </w:r>
            <w:r w:rsidRPr="009270EF">
              <w:t xml:space="preserve"> også med en række andre ændringer, herunder om protokollatet vedrørende årsregnskabet og den interne revisionschefs arbejde, erklæringer samt beskrivelsen af revisionens arbejde. </w:t>
            </w:r>
          </w:p>
          <w:p w14:paraId="30CACFF3" w14:textId="77777777" w:rsidR="00EF1CF3" w:rsidRDefault="00EF1CF3" w:rsidP="009270EF"/>
          <w:p w14:paraId="01C0041F" w14:textId="65BD78A9" w:rsidR="009270EF" w:rsidRPr="009270EF" w:rsidRDefault="009270EF" w:rsidP="009270EF">
            <w:r w:rsidRPr="009270EF">
              <w:t>Bekendtgørelsen træder i kraft den 1. januar 2025 og ophæver samtidig bekendtgørelse nr. 1912 af 22. december 2015.</w:t>
            </w:r>
          </w:p>
          <w:p w14:paraId="08B6BE98" w14:textId="77777777" w:rsidR="00414689" w:rsidRDefault="00414689" w:rsidP="009270EF"/>
          <w:p w14:paraId="3E6ABECD" w14:textId="5DCC7BD0" w:rsidR="009270EF" w:rsidRPr="009270EF" w:rsidRDefault="009270EF" w:rsidP="009270EF">
            <w:pPr>
              <w:rPr>
                <w:b/>
                <w:bCs/>
              </w:rPr>
            </w:pPr>
            <w:r w:rsidRPr="009270EF">
              <w:t xml:space="preserve">(Offentliggjort den 14. december 2024, </w:t>
            </w:r>
            <w:hyperlink r:id="rId13" w:history="1">
              <w:r w:rsidRPr="009270EF">
                <w:rPr>
                  <w:rStyle w:val="Hyperlink"/>
                </w:rPr>
                <w:t>link</w:t>
              </w:r>
            </w:hyperlink>
            <w:r w:rsidRPr="009270EF">
              <w:t>)</w:t>
            </w:r>
          </w:p>
          <w:p w14:paraId="20269864" w14:textId="77777777" w:rsidR="009270EF" w:rsidRPr="009270EF" w:rsidRDefault="009270EF" w:rsidP="009270EF">
            <w:pPr>
              <w:rPr>
                <w:b/>
                <w:bCs/>
              </w:rPr>
            </w:pPr>
          </w:p>
          <w:p w14:paraId="05646E79" w14:textId="77777777" w:rsidR="00BD1EF4" w:rsidRPr="00BD1EF4" w:rsidRDefault="00BD1EF4" w:rsidP="00BD1EF4">
            <w:pPr>
              <w:rPr>
                <w:b/>
                <w:bCs/>
              </w:rPr>
            </w:pPr>
            <w:bookmarkStart w:id="6" w:name="G"/>
            <w:r w:rsidRPr="00BD1EF4">
              <w:rPr>
                <w:b/>
                <w:bCs/>
              </w:rPr>
              <w:t>Bekendtgørelse nr. 1610 af 10. december 2024 om ledelse og styring af fondsmæglerselskaber m.fl.</w:t>
            </w:r>
          </w:p>
          <w:bookmarkEnd w:id="6"/>
          <w:p w14:paraId="41B97DE0" w14:textId="77777777" w:rsidR="00414689" w:rsidRDefault="00414689" w:rsidP="00BD1EF4"/>
          <w:p w14:paraId="3DD929B2" w14:textId="77777777" w:rsidR="00A971BD" w:rsidRDefault="00BD1EF4" w:rsidP="00BD1EF4">
            <w:r w:rsidRPr="00BD1EF4">
              <w:t xml:space="preserve">Bekendtgørelsen udskiller fondsmæglerselskaber og </w:t>
            </w:r>
            <w:proofErr w:type="spellStart"/>
            <w:r w:rsidRPr="00BD1EF4">
              <w:t>fondsmæglerholdingvirksomheder</w:t>
            </w:r>
            <w:proofErr w:type="spellEnd"/>
            <w:r w:rsidRPr="00BD1EF4">
              <w:t xml:space="preserve"> fra ledelsesbekendtgørelsen for pengeinstitutter</w:t>
            </w:r>
            <w:r w:rsidR="0094061F">
              <w:t xml:space="preserve"> </w:t>
            </w:r>
            <w:r w:rsidR="006D03D8">
              <w:t>m.v.</w:t>
            </w:r>
            <w:r w:rsidRPr="00BD1EF4">
              <w:t xml:space="preserve">, idet den overordnede struktur videreføres. </w:t>
            </w:r>
            <w:r w:rsidR="00B84B75">
              <w:t xml:space="preserve">Fondsmæglerselskaber, der </w:t>
            </w:r>
            <w:r w:rsidR="000977BB">
              <w:t>kan betegnes som små og ikke indbyrdes forbundne fondsmæglerselskaber, er undtaget fra en række af de hidtidige krav.</w:t>
            </w:r>
          </w:p>
          <w:p w14:paraId="773F5BA9" w14:textId="2C546CA8" w:rsidR="000977BB" w:rsidRDefault="00BD1EF4" w:rsidP="00BD1EF4">
            <w:r w:rsidRPr="00BD1EF4">
              <w:t> </w:t>
            </w:r>
          </w:p>
          <w:p w14:paraId="78EEDE76" w14:textId="71E9600D" w:rsidR="00BD1EF4" w:rsidRPr="00BD1EF4" w:rsidRDefault="00BD1EF4" w:rsidP="00BD1EF4">
            <w:r w:rsidRPr="00BD1EF4">
              <w:t>Endvidere foretages en lang række sproglige og indholdsmæssige tilpasninger</w:t>
            </w:r>
            <w:r w:rsidR="00B641C3">
              <w:t xml:space="preserve"> i forhold til den hidtidige bekendtgørelse</w:t>
            </w:r>
            <w:r w:rsidRPr="00BD1EF4">
              <w:t>.</w:t>
            </w:r>
            <w:r w:rsidR="0017008C">
              <w:t xml:space="preserve"> Eksempelvis </w:t>
            </w:r>
            <w:r w:rsidR="0004608C">
              <w:t>er</w:t>
            </w:r>
            <w:r w:rsidR="008B4DD9">
              <w:t xml:space="preserve"> opregningen af de</w:t>
            </w:r>
            <w:r w:rsidR="000B4EAE">
              <w:t xml:space="preserve"> nødvendige politikker reduceret og tilpasset</w:t>
            </w:r>
            <w:r w:rsidR="00F67916">
              <w:t>, og</w:t>
            </w:r>
            <w:r w:rsidR="0004608C">
              <w:t xml:space="preserve"> bilag</w:t>
            </w:r>
            <w:r w:rsidR="00FE1A52">
              <w:t>ene</w:t>
            </w:r>
            <w:r w:rsidR="00F67916">
              <w:t xml:space="preserve"> er</w:t>
            </w:r>
            <w:r w:rsidR="0004608C">
              <w:t xml:space="preserve"> reduceret til </w:t>
            </w:r>
            <w:r w:rsidR="006B3638">
              <w:t>tre</w:t>
            </w:r>
            <w:r w:rsidR="00AD03CA">
              <w:t xml:space="preserve"> (markedsrisiko, operationel risiko og bestyrelsens arbejde)</w:t>
            </w:r>
            <w:r w:rsidR="00F67916">
              <w:t>.</w:t>
            </w:r>
          </w:p>
          <w:p w14:paraId="60EF62A0" w14:textId="77777777" w:rsidR="00A419BA" w:rsidRDefault="00A419BA" w:rsidP="00BD1EF4"/>
          <w:p w14:paraId="7ED95225" w14:textId="33766AE3" w:rsidR="00BD1EF4" w:rsidRPr="00BD1EF4" w:rsidRDefault="00BD1EF4" w:rsidP="00BD1EF4">
            <w:r w:rsidRPr="00BD1EF4">
              <w:t>Bekendtgørelsen træder i kraft den 17. januar 2025.</w:t>
            </w:r>
          </w:p>
          <w:p w14:paraId="2DE571F9" w14:textId="77777777" w:rsidR="00414689" w:rsidRDefault="00414689" w:rsidP="00BD1EF4"/>
          <w:p w14:paraId="72314A40" w14:textId="041ED531" w:rsidR="00BD1EF4" w:rsidRPr="00BD1EF4" w:rsidRDefault="00BD1EF4" w:rsidP="00BD1EF4">
            <w:r w:rsidRPr="00BD1EF4">
              <w:t xml:space="preserve">(Offentliggjort den 19. december 2024, </w:t>
            </w:r>
            <w:hyperlink r:id="rId14" w:history="1">
              <w:r w:rsidRPr="00BD1EF4">
                <w:rPr>
                  <w:rStyle w:val="Hyperlink"/>
                </w:rPr>
                <w:t>link</w:t>
              </w:r>
            </w:hyperlink>
            <w:r w:rsidRPr="00BD1EF4">
              <w:t>)</w:t>
            </w:r>
          </w:p>
          <w:p w14:paraId="2BE89B52" w14:textId="77777777" w:rsidR="009E4559" w:rsidRDefault="009E4559"/>
        </w:tc>
      </w:tr>
      <w:tr w:rsidR="00BE4C01" w14:paraId="2E8F680D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33F4D91" w14:textId="215F6731" w:rsidR="00BE4C01" w:rsidRPr="005945AC" w:rsidRDefault="00BE4C01" w:rsidP="00BE4C01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lastRenderedPageBreak/>
              <w:t>EU-REGULERING (forordninger)</w:t>
            </w:r>
          </w:p>
        </w:tc>
      </w:tr>
      <w:tr w:rsidR="00BE4C01" w14:paraId="6AF8D239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C426A68" w14:textId="017C4220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Niveau 1</w:t>
            </w:r>
          </w:p>
        </w:tc>
      </w:tr>
      <w:tr w:rsidR="00BE4C01" w14:paraId="1DF6C69F" w14:textId="77777777" w:rsidTr="00BE4C01">
        <w:tc>
          <w:tcPr>
            <w:tcW w:w="9628" w:type="dxa"/>
          </w:tcPr>
          <w:p w14:paraId="690AC6EE" w14:textId="77777777" w:rsidR="00943877" w:rsidRDefault="00943877"/>
          <w:p w14:paraId="5293FDB9" w14:textId="77777777" w:rsidR="00F9234C" w:rsidRPr="00F9234C" w:rsidRDefault="00F9234C" w:rsidP="00F9234C">
            <w:bookmarkStart w:id="7" w:name="H"/>
            <w:r w:rsidRPr="00F9234C">
              <w:rPr>
                <w:b/>
                <w:bCs/>
              </w:rPr>
              <w:t>Europa-Parlamentets og Rådets forordning (EU) 2024/3005 af 27. november 2024 om gennemsigtighed og integritet i forbindelse med miljømæssige, sociale og ledelsesmæssige (ESG) vurderingsaktiviteter og om ændring af forordning (EU) 2019/2088 og (EU) 2023/2859 </w:t>
            </w:r>
          </w:p>
          <w:bookmarkEnd w:id="7"/>
          <w:p w14:paraId="6E4056EA" w14:textId="77777777" w:rsidR="00414689" w:rsidRDefault="00414689" w:rsidP="00F9234C"/>
          <w:p w14:paraId="12799407" w14:textId="73E3339F" w:rsidR="00F9234C" w:rsidRPr="00F9234C" w:rsidRDefault="00F9234C" w:rsidP="00F9234C">
            <w:r w:rsidRPr="00F9234C">
              <w:t xml:space="preserve">Forordningen indfører fælles regler om ESG-vurderingsaktiviteter og finder anvendelse på ESG-vurderinger udstedt af ESG-vurderingsleverandører, der opererer inden for EØS. </w:t>
            </w:r>
          </w:p>
          <w:p w14:paraId="2F9084C9" w14:textId="77777777" w:rsidR="00C61CA9" w:rsidRDefault="00F9234C" w:rsidP="00F9234C">
            <w:r w:rsidRPr="00F9234C">
              <w:t xml:space="preserve">Forordningen ændrer samtidig på SFDR ved tilføjelse af et nyt stykke til SFDR artikel 13 om oplysningsforpligtelser ved finansielle rådgivers og finansielle markedsdeltageres udstedelse og videregivelse af ESG-vurderinger. </w:t>
            </w:r>
          </w:p>
          <w:p w14:paraId="5D8EA7BC" w14:textId="77777777" w:rsidR="00C61CA9" w:rsidRDefault="00C61CA9" w:rsidP="00F9234C"/>
          <w:p w14:paraId="28C42B4F" w14:textId="5642D914" w:rsidR="00F9234C" w:rsidRPr="00F9234C" w:rsidRDefault="00F9234C" w:rsidP="00F9234C">
            <w:r w:rsidRPr="00F9234C">
              <w:t>Forordningen anvendes fra den 2. juli 2026.</w:t>
            </w:r>
          </w:p>
          <w:p w14:paraId="4C4B6C1F" w14:textId="77777777" w:rsidR="007D7867" w:rsidRDefault="007D7867" w:rsidP="00F9234C"/>
          <w:p w14:paraId="08BE48B9" w14:textId="13C6CA4B" w:rsidR="00F9234C" w:rsidRPr="00F9234C" w:rsidRDefault="00F9234C" w:rsidP="00F9234C">
            <w:r w:rsidRPr="00F9234C">
              <w:t xml:space="preserve">(Offentliggjort den 12. december 2024, </w:t>
            </w:r>
            <w:hyperlink r:id="rId15" w:history="1">
              <w:r w:rsidRPr="00F9234C">
                <w:rPr>
                  <w:rStyle w:val="Hyperlink"/>
                </w:rPr>
                <w:t>link</w:t>
              </w:r>
            </w:hyperlink>
            <w:r w:rsidRPr="00F9234C">
              <w:t>)</w:t>
            </w:r>
          </w:p>
          <w:p w14:paraId="010E559B" w14:textId="77777777" w:rsidR="00943877" w:rsidRDefault="00943877"/>
        </w:tc>
      </w:tr>
      <w:tr w:rsidR="00BE4C01" w14:paraId="33726393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5443431C" w14:textId="42CA405D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lastRenderedPageBreak/>
              <w:t>Niveau 2</w:t>
            </w:r>
          </w:p>
        </w:tc>
      </w:tr>
      <w:tr w:rsidR="00BE4C01" w14:paraId="041C1121" w14:textId="77777777" w:rsidTr="00BE4C01">
        <w:tc>
          <w:tcPr>
            <w:tcW w:w="9628" w:type="dxa"/>
          </w:tcPr>
          <w:p w14:paraId="56A47421" w14:textId="77777777" w:rsidR="001D5262" w:rsidRPr="001D5262" w:rsidRDefault="001D5262" w:rsidP="001D5262"/>
          <w:p w14:paraId="7E07FEF6" w14:textId="77777777" w:rsidR="001D5262" w:rsidRPr="001D5262" w:rsidRDefault="001D5262" w:rsidP="001D5262">
            <w:pPr>
              <w:rPr>
                <w:b/>
                <w:bCs/>
              </w:rPr>
            </w:pPr>
            <w:bookmarkStart w:id="8" w:name="I"/>
            <w:r w:rsidRPr="001D5262">
              <w:rPr>
                <w:b/>
                <w:bCs/>
              </w:rPr>
              <w:t>Kommissionens gennemførelsesforordning (EU) 2024/2956 af 29. november 2024 om gennemførelsesmæssige tekniske standarder for anvendelsen af Europa-Parlamentets og Rådets forordning (EU) 2022/2554 for så vidt angår standardmodeller med henblik på registret over oplysninger</w:t>
            </w:r>
            <w:bookmarkEnd w:id="8"/>
          </w:p>
          <w:p w14:paraId="65548949" w14:textId="77777777" w:rsidR="001D5262" w:rsidRDefault="001D5262" w:rsidP="001D5262"/>
          <w:p w14:paraId="13CD0F91" w14:textId="42831671" w:rsidR="001D5262" w:rsidRPr="001D5262" w:rsidRDefault="00A105F6" w:rsidP="001D5262">
            <w:r>
              <w:t xml:space="preserve">Forordningen fastsætter uddybende </w:t>
            </w:r>
            <w:r w:rsidR="001D5262" w:rsidRPr="001D5262">
              <w:t xml:space="preserve">regler under DORA vedrørende det register, som virksomhederne skal </w:t>
            </w:r>
            <w:r w:rsidR="00505898">
              <w:t>føre</w:t>
            </w:r>
            <w:r w:rsidR="001D5262" w:rsidRPr="001D5262">
              <w:t xml:space="preserve"> i relation til kontrakter med tredjepartsudbydere af IKT-tjenester.</w:t>
            </w:r>
          </w:p>
          <w:p w14:paraId="157D3F85" w14:textId="77777777" w:rsidR="00414689" w:rsidRDefault="00414689" w:rsidP="001D5262"/>
          <w:p w14:paraId="3CDAEC3E" w14:textId="0E45593D" w:rsidR="001D5262" w:rsidRPr="001D5262" w:rsidRDefault="001D5262" w:rsidP="001D5262">
            <w:r w:rsidRPr="001D5262">
              <w:t xml:space="preserve">(Offentliggjort den 2. december 2024, </w:t>
            </w:r>
            <w:hyperlink r:id="rId16" w:history="1">
              <w:r w:rsidRPr="001D5262">
                <w:rPr>
                  <w:rStyle w:val="Hyperlink"/>
                </w:rPr>
                <w:t>link</w:t>
              </w:r>
            </w:hyperlink>
            <w:r w:rsidRPr="001D5262">
              <w:t>)</w:t>
            </w:r>
          </w:p>
          <w:p w14:paraId="570C0B58" w14:textId="77777777" w:rsidR="001D5262" w:rsidRDefault="001D5262"/>
        </w:tc>
      </w:tr>
      <w:tr w:rsidR="00BE4C01" w14:paraId="15D16C97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2EAF4AB2" w14:textId="47D47A5D" w:rsidR="00BE4C01" w:rsidRPr="005945AC" w:rsidRDefault="00BE4C01" w:rsidP="00BE4C01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RETNINGSLINJER FRA ESA’ERNE</w:t>
            </w:r>
          </w:p>
        </w:tc>
      </w:tr>
      <w:tr w:rsidR="00BE4C01" w14:paraId="7EFB212B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8A36234" w14:textId="6C0B6A7D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EBA</w:t>
            </w:r>
          </w:p>
        </w:tc>
      </w:tr>
      <w:tr w:rsidR="00BE4C01" w14:paraId="46B54A56" w14:textId="77777777" w:rsidTr="00BE4C01">
        <w:tc>
          <w:tcPr>
            <w:tcW w:w="9628" w:type="dxa"/>
          </w:tcPr>
          <w:p w14:paraId="039678A0" w14:textId="77777777" w:rsidR="00BE4C01" w:rsidRDefault="00BE4C01"/>
          <w:p w14:paraId="450F0D14" w14:textId="64A326B6" w:rsidR="009E37D3" w:rsidRPr="009E37D3" w:rsidRDefault="009E37D3" w:rsidP="009E37D3">
            <w:pPr>
              <w:rPr>
                <w:b/>
                <w:bCs/>
              </w:rPr>
            </w:pPr>
            <w:bookmarkStart w:id="9" w:name="J"/>
            <w:r w:rsidRPr="009E37D3">
              <w:rPr>
                <w:b/>
                <w:bCs/>
              </w:rPr>
              <w:t>EBA offentliggør den tekniske pakke til sin rapporteringsramme</w:t>
            </w:r>
            <w:bookmarkEnd w:id="9"/>
            <w:r w:rsidR="006C2DC8">
              <w:rPr>
                <w:b/>
                <w:bCs/>
              </w:rPr>
              <w:t xml:space="preserve"> version </w:t>
            </w:r>
            <w:r w:rsidR="006C2DC8" w:rsidRPr="009E37D3">
              <w:rPr>
                <w:b/>
                <w:bCs/>
              </w:rPr>
              <w:t>4.0</w:t>
            </w:r>
          </w:p>
          <w:p w14:paraId="55A6E93D" w14:textId="77777777" w:rsidR="00414689" w:rsidRDefault="00414689" w:rsidP="009E37D3"/>
          <w:p w14:paraId="6D75812B" w14:textId="22E1F26B" w:rsidR="009E37D3" w:rsidRPr="009E37D3" w:rsidRDefault="009E37D3" w:rsidP="009E37D3">
            <w:r w:rsidRPr="009E37D3">
              <w:t>Rapporteringsrammen vil gælde fra første halvdel af 2025. Rammen har relevant for forskellige typer af regulering, herunder bl.a. DORA</w:t>
            </w:r>
            <w:r w:rsidR="0099689D">
              <w:t xml:space="preserve"> og </w:t>
            </w:r>
            <w:r w:rsidR="00027672">
              <w:t>investeringsselskabers indberetning</w:t>
            </w:r>
            <w:r w:rsidR="00491EC4">
              <w:t>er</w:t>
            </w:r>
            <w:r w:rsidRPr="009E37D3">
              <w:t>.</w:t>
            </w:r>
          </w:p>
          <w:p w14:paraId="07A1DF3C" w14:textId="77777777" w:rsidR="00414689" w:rsidRDefault="00414689" w:rsidP="009E37D3"/>
          <w:p w14:paraId="4FE944B5" w14:textId="7F4EA877" w:rsidR="009E37D3" w:rsidRPr="009E37D3" w:rsidRDefault="009E37D3" w:rsidP="009E37D3">
            <w:r w:rsidRPr="009E37D3">
              <w:t xml:space="preserve">(Offentliggjort den 19. december 2024, </w:t>
            </w:r>
            <w:hyperlink r:id="rId17" w:history="1">
              <w:r w:rsidRPr="009E37D3">
                <w:rPr>
                  <w:rStyle w:val="Hyperlink"/>
                </w:rPr>
                <w:t>link</w:t>
              </w:r>
            </w:hyperlink>
            <w:r w:rsidRPr="009E37D3">
              <w:t>)</w:t>
            </w:r>
          </w:p>
          <w:p w14:paraId="5E1E2D1B" w14:textId="77777777" w:rsidR="00E3369D" w:rsidRDefault="00E3369D"/>
        </w:tc>
      </w:tr>
      <w:tr w:rsidR="00BE4C01" w14:paraId="2CFF0838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1FEF4B9" w14:textId="752585A1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ESMA</w:t>
            </w:r>
          </w:p>
        </w:tc>
      </w:tr>
      <w:tr w:rsidR="00BE4C01" w14:paraId="7F315866" w14:textId="77777777" w:rsidTr="00BE4C01">
        <w:tc>
          <w:tcPr>
            <w:tcW w:w="9628" w:type="dxa"/>
          </w:tcPr>
          <w:p w14:paraId="1915D434" w14:textId="77777777" w:rsidR="00BE4C01" w:rsidRDefault="00BE4C01"/>
          <w:p w14:paraId="73D94598" w14:textId="77777777" w:rsidR="005C4B02" w:rsidRPr="005C4B02" w:rsidRDefault="005C4B02" w:rsidP="005C4B02">
            <w:pPr>
              <w:rPr>
                <w:b/>
                <w:bCs/>
              </w:rPr>
            </w:pPr>
            <w:bookmarkStart w:id="10" w:name="K"/>
            <w:r w:rsidRPr="005C4B02">
              <w:rPr>
                <w:b/>
                <w:bCs/>
              </w:rPr>
              <w:t xml:space="preserve">ESMA udgiver de sidste politikdokumenter for at blive klar til </w:t>
            </w:r>
            <w:proofErr w:type="spellStart"/>
            <w:r w:rsidRPr="005C4B02">
              <w:rPr>
                <w:b/>
                <w:bCs/>
              </w:rPr>
              <w:t>MiCA</w:t>
            </w:r>
            <w:proofErr w:type="spellEnd"/>
          </w:p>
          <w:bookmarkEnd w:id="10"/>
          <w:p w14:paraId="3F8F1EC6" w14:textId="77777777" w:rsidR="00414689" w:rsidRDefault="00414689" w:rsidP="005C4B02"/>
          <w:p w14:paraId="714FD26D" w14:textId="357B653B" w:rsidR="005C4B02" w:rsidRDefault="005C4B02" w:rsidP="005C4B02">
            <w:r w:rsidRPr="005C4B02">
              <w:t xml:space="preserve">ESMA har offentliggjort sin sidste pakke af endelige rapporter med </w:t>
            </w:r>
            <w:r w:rsidR="00491EC4">
              <w:t>niveau 2-regler</w:t>
            </w:r>
            <w:r w:rsidRPr="005C4B02">
              <w:t xml:space="preserve"> og retningslinjer forud for ikrafttræden af </w:t>
            </w:r>
            <w:proofErr w:type="spellStart"/>
            <w:r w:rsidRPr="005C4B02">
              <w:t>MiCA</w:t>
            </w:r>
            <w:proofErr w:type="spellEnd"/>
            <w:r w:rsidRPr="005C4B02">
              <w:t>. Denne pakke indeholder bl.a. retningslinjer om ”</w:t>
            </w:r>
            <w:proofErr w:type="spellStart"/>
            <w:r w:rsidRPr="005C4B02">
              <w:t>reverse</w:t>
            </w:r>
            <w:proofErr w:type="spellEnd"/>
            <w:r w:rsidRPr="005C4B02">
              <w:t xml:space="preserve"> solicitation”, retningslinjer om egnethedstest, retningslinjer for investorbeskyttelse</w:t>
            </w:r>
            <w:r w:rsidR="00D005DB">
              <w:t xml:space="preserve"> og</w:t>
            </w:r>
            <w:r w:rsidRPr="005C4B02">
              <w:t xml:space="preserve"> retningslinjer for klassificering af </w:t>
            </w:r>
            <w:proofErr w:type="spellStart"/>
            <w:r w:rsidRPr="005C4B02">
              <w:t>kryptoaktiver</w:t>
            </w:r>
            <w:proofErr w:type="spellEnd"/>
            <w:r w:rsidRPr="005C4B02">
              <w:t xml:space="preserve"> som finansielle instrumenter.</w:t>
            </w:r>
          </w:p>
          <w:p w14:paraId="3C4F5132" w14:textId="77777777" w:rsidR="00414689" w:rsidRDefault="00414689" w:rsidP="005C4B02"/>
          <w:p w14:paraId="1E488354" w14:textId="709C6EB0" w:rsidR="005C4B02" w:rsidRPr="005C4B02" w:rsidRDefault="005C4B02" w:rsidP="005C4B02">
            <w:r w:rsidRPr="005C4B02">
              <w:t xml:space="preserve">(Offentliggjort den 17. december 2024, </w:t>
            </w:r>
            <w:hyperlink r:id="rId18" w:history="1">
              <w:r w:rsidRPr="005C4B02">
                <w:rPr>
                  <w:rStyle w:val="Hyperlink"/>
                </w:rPr>
                <w:t>link</w:t>
              </w:r>
            </w:hyperlink>
            <w:r w:rsidRPr="005C4B02">
              <w:t>)</w:t>
            </w:r>
          </w:p>
          <w:p w14:paraId="29E632A3" w14:textId="77777777" w:rsidR="005C4B02" w:rsidRDefault="005C4B02"/>
        </w:tc>
      </w:tr>
    </w:tbl>
    <w:p w14:paraId="1E180472" w14:textId="77777777" w:rsidR="00002AB9" w:rsidRPr="00BE4C01" w:rsidRDefault="00002AB9" w:rsidP="00BE4C01"/>
    <w:p w14:paraId="251BD954" w14:textId="54A22563" w:rsidR="00BE4C01" w:rsidRPr="00BE4C01" w:rsidRDefault="00BE4C01" w:rsidP="00BE4C01">
      <w:pPr>
        <w:rPr>
          <w:i/>
          <w:iCs/>
        </w:rPr>
      </w:pPr>
      <w:r w:rsidRPr="00BE4C01">
        <w:rPr>
          <w:i/>
          <w:iCs/>
        </w:rPr>
        <w:t xml:space="preserve">Denne oversigt over ny finansiel regulering er udvalgt af </w:t>
      </w:r>
      <w:r w:rsidR="001928E1">
        <w:rPr>
          <w:i/>
          <w:iCs/>
        </w:rPr>
        <w:t>Equity Law Advokatanpartsselskab</w:t>
      </w:r>
      <w:r w:rsidRPr="00BE4C01">
        <w:rPr>
          <w:i/>
          <w:iCs/>
        </w:rPr>
        <w:t xml:space="preserve"> ud fra regulering, der retter sig direkte til fondsmæglerselskaber og deres </w:t>
      </w:r>
      <w:proofErr w:type="spellStart"/>
      <w:r w:rsidRPr="00BE4C01">
        <w:rPr>
          <w:i/>
          <w:iCs/>
        </w:rPr>
        <w:t>holdingvirksomheder</w:t>
      </w:r>
      <w:proofErr w:type="spellEnd"/>
      <w:r w:rsidRPr="00BE4C01">
        <w:rPr>
          <w:i/>
          <w:iCs/>
        </w:rPr>
        <w:t xml:space="preserve">. Oversigten er en informationstjeneste og udgør ikke juridisk rådgivning, og </w:t>
      </w:r>
      <w:r w:rsidR="000A03EB">
        <w:rPr>
          <w:i/>
          <w:iCs/>
        </w:rPr>
        <w:t>Equity Law Advokatanpartsselskab</w:t>
      </w:r>
      <w:r w:rsidRPr="00BE4C01">
        <w:rPr>
          <w:i/>
          <w:iCs/>
        </w:rPr>
        <w:t xml:space="preserve"> påtager sig ikke ansvar for fejl eller mangler. </w:t>
      </w:r>
      <w:r w:rsidRPr="00BE4C01">
        <w:rPr>
          <w:noProof/>
        </w:rPr>
        <w:drawing>
          <wp:anchor distT="0" distB="0" distL="114300" distR="114300" simplePos="0" relativeHeight="251659264" behindDoc="0" locked="0" layoutInCell="1" allowOverlap="1" wp14:anchorId="7F4E4D6D" wp14:editId="79FD38D8">
            <wp:simplePos x="0" y="0"/>
            <wp:positionH relativeFrom="column">
              <wp:posOffset>-4098</wp:posOffset>
            </wp:positionH>
            <wp:positionV relativeFrom="paragraph">
              <wp:posOffset>168</wp:posOffset>
            </wp:positionV>
            <wp:extent cx="1401445" cy="1504950"/>
            <wp:effectExtent l="0" t="0" r="8255" b="0"/>
            <wp:wrapSquare wrapText="bothSides"/>
            <wp:docPr id="1686948146" name="Billede 1686948146" descr="Et billede, der indeholder person, mur, menneske, in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person, mur, menneske, indendørs&#10;&#10;Automatisk generere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85"/>
                    <a:stretch/>
                  </pic:blipFill>
                  <pic:spPr bwMode="auto">
                    <a:xfrm>
                      <a:off x="0" y="0"/>
                      <a:ext cx="140144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86D39AB" w14:textId="228586F2" w:rsidR="00BE4C01" w:rsidRPr="00BE4C01" w:rsidRDefault="00BE4C01" w:rsidP="00BE4C01">
      <w:pPr>
        <w:rPr>
          <w:i/>
          <w:iCs/>
        </w:rPr>
      </w:pPr>
      <w:r w:rsidRPr="00BE4C01">
        <w:rPr>
          <w:i/>
          <w:iCs/>
        </w:rPr>
        <w:t xml:space="preserve">Oversigten er redigeret af advokat Camilla Søborg, </w:t>
      </w:r>
      <w:hyperlink r:id="rId20" w:history="1">
        <w:r w:rsidR="000A03EB" w:rsidRPr="00401311">
          <w:rPr>
            <w:rStyle w:val="Hyperlink"/>
            <w:i/>
            <w:iCs/>
          </w:rPr>
          <w:t>cas@equitylaw.dk</w:t>
        </w:r>
      </w:hyperlink>
      <w:r w:rsidRPr="00BE4C01">
        <w:rPr>
          <w:i/>
          <w:iCs/>
        </w:rPr>
        <w:t xml:space="preserve">, tlf. 53500914, som du kan rette henvendelse til, hvis du har kommentarer eller spørgsmål. </w:t>
      </w:r>
    </w:p>
    <w:p w14:paraId="514A19E8" w14:textId="77777777" w:rsidR="00BE4C01" w:rsidRPr="00BE4C01" w:rsidRDefault="00BE4C01" w:rsidP="00BE4C01">
      <w:pPr>
        <w:rPr>
          <w:i/>
          <w:iCs/>
        </w:rPr>
      </w:pPr>
    </w:p>
    <w:p w14:paraId="22D0A962" w14:textId="09AEDB04" w:rsidR="00BE4C01" w:rsidRPr="00BE4C01" w:rsidRDefault="006C57C3" w:rsidP="00BE4C01">
      <w:r>
        <w:rPr>
          <w:noProof/>
        </w:rPr>
        <w:drawing>
          <wp:inline distT="0" distB="0" distL="0" distR="0" wp14:anchorId="03371999" wp14:editId="5DB5042A">
            <wp:extent cx="1495425" cy="295275"/>
            <wp:effectExtent l="0" t="0" r="9525" b="9525"/>
            <wp:docPr id="994185766" name="Billede 1" descr="Et billede, der indeholder Font/skrifttype, Grafik, logo,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185766" name="Billede 1" descr="Et billede, der indeholder Font/skrifttype, Grafik, logo, tekst&#10;&#10;Automatisk generere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76" t="-2857" r="11765" b="14287"/>
                    <a:stretch/>
                  </pic:blipFill>
                  <pic:spPr bwMode="auto">
                    <a:xfrm>
                      <a:off x="0" y="0"/>
                      <a:ext cx="1495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ACDA41" w14:textId="3AEF56FE" w:rsidR="00BE4C01" w:rsidRDefault="00A356F8">
      <w:r>
        <w:t>Equity Law Advokatanpartsselskab</w:t>
      </w:r>
      <w:r w:rsidR="00BE4C01" w:rsidRPr="00BE4C01">
        <w:t>,</w:t>
      </w:r>
      <w:r w:rsidR="00BE4C01" w:rsidRPr="00BE4C01">
        <w:rPr>
          <w:b/>
          <w:bCs/>
        </w:rPr>
        <w:t xml:space="preserve"> </w:t>
      </w:r>
      <w:r w:rsidR="00BE4C01" w:rsidRPr="00BE4C01">
        <w:t xml:space="preserve">CVR-nr. </w:t>
      </w:r>
      <w:r w:rsidR="000D0984" w:rsidRPr="000D0984">
        <w:t>42512273</w:t>
      </w:r>
      <w:r w:rsidR="00BE4C01" w:rsidRPr="00BE4C01">
        <w:t xml:space="preserve">, </w:t>
      </w:r>
      <w:r w:rsidR="000D0984">
        <w:t>Strandvejen 60</w:t>
      </w:r>
      <w:r w:rsidR="00BE4C01" w:rsidRPr="00BE4C01">
        <w:t>, DK-2900 Hellerup</w:t>
      </w:r>
    </w:p>
    <w:sectPr w:rsidR="00BE4C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9335C"/>
    <w:multiLevelType w:val="multilevel"/>
    <w:tmpl w:val="DCAC5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4636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01"/>
    <w:rsid w:val="00002AB9"/>
    <w:rsid w:val="00027672"/>
    <w:rsid w:val="0004608C"/>
    <w:rsid w:val="00052E54"/>
    <w:rsid w:val="000977BB"/>
    <w:rsid w:val="000A03EB"/>
    <w:rsid w:val="000B4EAE"/>
    <w:rsid w:val="000D0984"/>
    <w:rsid w:val="001163B2"/>
    <w:rsid w:val="00136D9B"/>
    <w:rsid w:val="001525FB"/>
    <w:rsid w:val="0017008C"/>
    <w:rsid w:val="00171B04"/>
    <w:rsid w:val="001928E1"/>
    <w:rsid w:val="001B5052"/>
    <w:rsid w:val="001D2801"/>
    <w:rsid w:val="001D5262"/>
    <w:rsid w:val="002066A6"/>
    <w:rsid w:val="002107D4"/>
    <w:rsid w:val="00245D16"/>
    <w:rsid w:val="00265438"/>
    <w:rsid w:val="002A753E"/>
    <w:rsid w:val="002B1C22"/>
    <w:rsid w:val="002B6B87"/>
    <w:rsid w:val="002E2D70"/>
    <w:rsid w:val="003119CD"/>
    <w:rsid w:val="00330767"/>
    <w:rsid w:val="00344CB3"/>
    <w:rsid w:val="003918FD"/>
    <w:rsid w:val="00395D8E"/>
    <w:rsid w:val="003B7D51"/>
    <w:rsid w:val="003C2C7B"/>
    <w:rsid w:val="003D1BA0"/>
    <w:rsid w:val="003E4929"/>
    <w:rsid w:val="004044A5"/>
    <w:rsid w:val="00410F3E"/>
    <w:rsid w:val="00414689"/>
    <w:rsid w:val="00427ED3"/>
    <w:rsid w:val="004354D1"/>
    <w:rsid w:val="0045749D"/>
    <w:rsid w:val="00491EC4"/>
    <w:rsid w:val="004B3F93"/>
    <w:rsid w:val="004B6DF0"/>
    <w:rsid w:val="004C7C01"/>
    <w:rsid w:val="004D50C2"/>
    <w:rsid w:val="004D740B"/>
    <w:rsid w:val="004F219B"/>
    <w:rsid w:val="00503F11"/>
    <w:rsid w:val="0050456E"/>
    <w:rsid w:val="00505898"/>
    <w:rsid w:val="00533C93"/>
    <w:rsid w:val="00537663"/>
    <w:rsid w:val="00565742"/>
    <w:rsid w:val="00570CC7"/>
    <w:rsid w:val="005945AC"/>
    <w:rsid w:val="005970F7"/>
    <w:rsid w:val="005A668F"/>
    <w:rsid w:val="005C2158"/>
    <w:rsid w:val="005C4B02"/>
    <w:rsid w:val="005F51D0"/>
    <w:rsid w:val="00671C09"/>
    <w:rsid w:val="006A4C11"/>
    <w:rsid w:val="006B3638"/>
    <w:rsid w:val="006B6A00"/>
    <w:rsid w:val="006C0074"/>
    <w:rsid w:val="006C2DC8"/>
    <w:rsid w:val="006C57C3"/>
    <w:rsid w:val="006D03D8"/>
    <w:rsid w:val="006D5CAB"/>
    <w:rsid w:val="007731E2"/>
    <w:rsid w:val="00792E35"/>
    <w:rsid w:val="007B6830"/>
    <w:rsid w:val="007D7867"/>
    <w:rsid w:val="0086335B"/>
    <w:rsid w:val="008642EC"/>
    <w:rsid w:val="008901B6"/>
    <w:rsid w:val="00890846"/>
    <w:rsid w:val="00894CF9"/>
    <w:rsid w:val="008B4DD9"/>
    <w:rsid w:val="009270EF"/>
    <w:rsid w:val="0094061F"/>
    <w:rsid w:val="009417B4"/>
    <w:rsid w:val="00943877"/>
    <w:rsid w:val="00973E27"/>
    <w:rsid w:val="009911B9"/>
    <w:rsid w:val="0099689D"/>
    <w:rsid w:val="009D1D05"/>
    <w:rsid w:val="009E37D3"/>
    <w:rsid w:val="009E4559"/>
    <w:rsid w:val="00A105F6"/>
    <w:rsid w:val="00A356F8"/>
    <w:rsid w:val="00A419BA"/>
    <w:rsid w:val="00A97075"/>
    <w:rsid w:val="00A971BD"/>
    <w:rsid w:val="00AB2489"/>
    <w:rsid w:val="00AD03CA"/>
    <w:rsid w:val="00AD5E07"/>
    <w:rsid w:val="00B02E43"/>
    <w:rsid w:val="00B07DB6"/>
    <w:rsid w:val="00B149CE"/>
    <w:rsid w:val="00B217F2"/>
    <w:rsid w:val="00B270AF"/>
    <w:rsid w:val="00B37695"/>
    <w:rsid w:val="00B641C3"/>
    <w:rsid w:val="00B8397B"/>
    <w:rsid w:val="00B84B75"/>
    <w:rsid w:val="00BA5D03"/>
    <w:rsid w:val="00BA77F1"/>
    <w:rsid w:val="00BC1F31"/>
    <w:rsid w:val="00BD1EF4"/>
    <w:rsid w:val="00BD5BBF"/>
    <w:rsid w:val="00BE1E42"/>
    <w:rsid w:val="00BE4C01"/>
    <w:rsid w:val="00BF5C50"/>
    <w:rsid w:val="00C21A39"/>
    <w:rsid w:val="00C61CA9"/>
    <w:rsid w:val="00C84515"/>
    <w:rsid w:val="00C919B7"/>
    <w:rsid w:val="00CA1817"/>
    <w:rsid w:val="00CB41B4"/>
    <w:rsid w:val="00CC2602"/>
    <w:rsid w:val="00D002A8"/>
    <w:rsid w:val="00D005DB"/>
    <w:rsid w:val="00D023A2"/>
    <w:rsid w:val="00D04A59"/>
    <w:rsid w:val="00D23F74"/>
    <w:rsid w:val="00D337D4"/>
    <w:rsid w:val="00D423B8"/>
    <w:rsid w:val="00D55F4B"/>
    <w:rsid w:val="00D74CB3"/>
    <w:rsid w:val="00D75F4A"/>
    <w:rsid w:val="00D83413"/>
    <w:rsid w:val="00DD3E70"/>
    <w:rsid w:val="00DD48DD"/>
    <w:rsid w:val="00DE28F3"/>
    <w:rsid w:val="00DE32DA"/>
    <w:rsid w:val="00E3369D"/>
    <w:rsid w:val="00E47DE6"/>
    <w:rsid w:val="00E91373"/>
    <w:rsid w:val="00EB2CC6"/>
    <w:rsid w:val="00EC7A1B"/>
    <w:rsid w:val="00EF1CF3"/>
    <w:rsid w:val="00F03E1D"/>
    <w:rsid w:val="00F058A7"/>
    <w:rsid w:val="00F10BC1"/>
    <w:rsid w:val="00F2456D"/>
    <w:rsid w:val="00F47962"/>
    <w:rsid w:val="00F539F3"/>
    <w:rsid w:val="00F53FE6"/>
    <w:rsid w:val="00F67916"/>
    <w:rsid w:val="00F851DD"/>
    <w:rsid w:val="00F868F8"/>
    <w:rsid w:val="00F87429"/>
    <w:rsid w:val="00F9234C"/>
    <w:rsid w:val="00F952C3"/>
    <w:rsid w:val="00FB5346"/>
    <w:rsid w:val="00FE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8BD4"/>
  <w15:chartTrackingRefBased/>
  <w15:docId w15:val="{5B722B26-DC46-4DCD-8CA4-7CD3527A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01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E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E4C0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E4C0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E4C0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D337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.dk/samling/20241/lovforslag/l70/index.htm" TargetMode="External"/><Relationship Id="rId13" Type="http://schemas.openxmlformats.org/officeDocument/2006/relationships/hyperlink" Target="https://www.retsinformation.dk/eli/lta/2024/1529" TargetMode="External"/><Relationship Id="rId18" Type="http://schemas.openxmlformats.org/officeDocument/2006/relationships/hyperlink" Target="https://www.esma.europa.eu/press-news/esma-news/esma-releases-last-policy-documents-get-ready-mica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webSettings" Target="webSettings.xml"/><Relationship Id="rId12" Type="http://schemas.openxmlformats.org/officeDocument/2006/relationships/hyperlink" Target="https://www.retsinformation.dk/eli/lta/2024/1426" TargetMode="External"/><Relationship Id="rId17" Type="http://schemas.openxmlformats.org/officeDocument/2006/relationships/hyperlink" Target="https://www.eba.europa.eu/publications-and-media/press-releases/eba-releases-technical-package-its-40-reporting-framewor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r-lex.europa.eu/legal-content/DA/TXT/?uri=OJ:L_202402956" TargetMode="External"/><Relationship Id="rId20" Type="http://schemas.openxmlformats.org/officeDocument/2006/relationships/hyperlink" Target="mailto:cas@equitylaw.d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tsinformation.dk/eli/lta/2024/1422" TargetMode="External"/><Relationship Id="rId5" Type="http://schemas.openxmlformats.org/officeDocument/2006/relationships/styles" Target="styles.xml"/><Relationship Id="rId15" Type="http://schemas.openxmlformats.org/officeDocument/2006/relationships/hyperlink" Target="https://eur-lex.europa.eu/legal-content/DA/TXT/?uri=OJ:L_20240300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retsinformation.dk/eli/lta/2024/1389" TargetMode="External"/><Relationship Id="rId19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www.ft.dk/samling/20241/lovforslag/l72/index.htm" TargetMode="External"/><Relationship Id="rId14" Type="http://schemas.openxmlformats.org/officeDocument/2006/relationships/hyperlink" Target="https://www.retsinformation.dk/eli/lta/2024/161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7d2aa7-4697-4679-89a8-f7ed825373f6" xsi:nil="true"/>
    <lcf76f155ced4ddcb4097134ff3c332f xmlns="e1ad0fee-deb7-4d11-8342-64349c8749b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167DF4E06F5744B57C6F8BE5F564CB" ma:contentTypeVersion="20" ma:contentTypeDescription="Opret et nyt dokument." ma:contentTypeScope="" ma:versionID="4c9fdd3f57380a66db669e25b35dd481">
  <xsd:schema xmlns:xsd="http://www.w3.org/2001/XMLSchema" xmlns:xs="http://www.w3.org/2001/XMLSchema" xmlns:p="http://schemas.microsoft.com/office/2006/metadata/properties" xmlns:ns2="e1ad0fee-deb7-4d11-8342-64349c8749bc" xmlns:ns3="547d2aa7-4697-4679-89a8-f7ed825373f6" targetNamespace="http://schemas.microsoft.com/office/2006/metadata/properties" ma:root="true" ma:fieldsID="0701e95dae96647187809806b243026f" ns2:_="" ns3:_="">
    <xsd:import namespace="e1ad0fee-deb7-4d11-8342-64349c8749bc"/>
    <xsd:import namespace="547d2aa7-4697-4679-89a8-f7ed82537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d0fee-deb7-4d11-8342-64349c874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d399327e-dec2-4cfd-b9e4-ed826a3a2e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d2aa7-4697-4679-89a8-f7ed82537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547f4b9-575f-4bb9-9f4d-53a5a71db9dd}" ma:internalName="TaxCatchAll" ma:showField="CatchAllData" ma:web="547d2aa7-4697-4679-89a8-f7ed825373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AAF082-B58A-4F52-A56E-EC4AEF91AEFB}">
  <ds:schemaRefs>
    <ds:schemaRef ds:uri="http://schemas.microsoft.com/office/2006/metadata/properties"/>
    <ds:schemaRef ds:uri="http://schemas.microsoft.com/office/infopath/2007/PartnerControls"/>
    <ds:schemaRef ds:uri="547d2aa7-4697-4679-89a8-f7ed825373f6"/>
    <ds:schemaRef ds:uri="e1ad0fee-deb7-4d11-8342-64349c8749bc"/>
  </ds:schemaRefs>
</ds:datastoreItem>
</file>

<file path=customXml/itemProps2.xml><?xml version="1.0" encoding="utf-8"?>
<ds:datastoreItem xmlns:ds="http://schemas.openxmlformats.org/officeDocument/2006/customXml" ds:itemID="{B1DFC98C-0845-4A94-8D81-1ABEEB673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d0fee-deb7-4d11-8342-64349c8749bc"/>
    <ds:schemaRef ds:uri="547d2aa7-4697-4679-89a8-f7ed82537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44AD3D-F638-4681-B165-D4FC1736A7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1379</Words>
  <Characters>8418</Characters>
  <Application>Microsoft Office Word</Application>
  <DocSecurity>0</DocSecurity>
  <Lines>70</Lines>
  <Paragraphs>19</Paragraphs>
  <ScaleCrop>false</ScaleCrop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Søborg</dc:creator>
  <cp:keywords/>
  <dc:description/>
  <cp:lastModifiedBy>Camilla Søborg</cp:lastModifiedBy>
  <cp:revision>127</cp:revision>
  <cp:lastPrinted>2025-01-02T16:32:00Z</cp:lastPrinted>
  <dcterms:created xsi:type="dcterms:W3CDTF">2025-01-02T08:11:00Z</dcterms:created>
  <dcterms:modified xsi:type="dcterms:W3CDTF">2025-01-02T17:51:00Z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0x0101003E167DF4E06F5744B57C6F8BE5F564CB</vt:lpwstr>
  </property>
  <property fmtid="{D5CDD505-2E9C-101B-9397-08002B2CF9AE}" pid="3" name="MediaServiceImageTags">
    <vt:lpwstr/>
  </property>
</Properties>
</file>