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0835" w14:textId="77777777" w:rsidR="00BE4C01" w:rsidRPr="008A1C76" w:rsidRDefault="00BE4C01" w:rsidP="00BE4C01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1C76">
        <w:rPr>
          <w:sz w:val="28"/>
          <w:szCs w:val="28"/>
        </w:rPr>
        <w:t>y finansiel regulering</w:t>
      </w:r>
      <w:r>
        <w:rPr>
          <w:sz w:val="28"/>
          <w:szCs w:val="28"/>
        </w:rPr>
        <w:t xml:space="preserve"> for fondsmæglerselskaber</w:t>
      </w:r>
      <w:r w:rsidRPr="008A1C76">
        <w:rPr>
          <w:sz w:val="28"/>
          <w:szCs w:val="28"/>
        </w:rPr>
        <w:t xml:space="preserve"> </w:t>
      </w:r>
    </w:p>
    <w:p w14:paraId="300EB7E4" w14:textId="3539D85C" w:rsidR="00BE4C01" w:rsidRDefault="00BE4C01" w:rsidP="00BE4C01">
      <w:pPr>
        <w:jc w:val="both"/>
      </w:pPr>
      <w:r>
        <w:t>O</w:t>
      </w:r>
      <w:r w:rsidRPr="005A5267">
        <w:t xml:space="preserve">pdatering for </w:t>
      </w:r>
      <w:r w:rsidR="00544D59">
        <w:t>november</w:t>
      </w:r>
      <w:r w:rsidRPr="005A5267">
        <w:t xml:space="preserve"> </w:t>
      </w:r>
      <w:r>
        <w:t xml:space="preserve">måned </w:t>
      </w:r>
      <w:r w:rsidRPr="005A5267">
        <w:t>202</w:t>
      </w:r>
      <w:r w:rsidR="005C2158"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4C01" w14:paraId="00166C8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6AB36AD5" w14:textId="79E26B0B" w:rsidR="00BE4C01" w:rsidRPr="005945AC" w:rsidRDefault="005945AC">
            <w:pPr>
              <w:rPr>
                <w:b/>
                <w:bCs/>
              </w:rPr>
            </w:pPr>
            <w:r w:rsidRPr="005945AC">
              <w:rPr>
                <w:b/>
                <w:bCs/>
              </w:rPr>
              <w:t>OVERBLIK</w:t>
            </w:r>
          </w:p>
        </w:tc>
      </w:tr>
      <w:tr w:rsidR="00BE4C01" w14:paraId="19A8CD66" w14:textId="77777777" w:rsidTr="00BE4C01">
        <w:tc>
          <w:tcPr>
            <w:tcW w:w="9628" w:type="dxa"/>
          </w:tcPr>
          <w:p w14:paraId="3CB35A7E" w14:textId="77777777" w:rsidR="00BE4C01" w:rsidRDefault="00BE4C01"/>
          <w:p w14:paraId="63F02EDC" w14:textId="7B8A5BFB" w:rsidR="004715BD" w:rsidRDefault="000416DF">
            <w:r>
              <w:t xml:space="preserve">Mindre ændringer i regnskabsbekendtgørelsen: </w:t>
            </w:r>
            <w:hyperlink w:anchor="A" w:history="1">
              <w:r w:rsidRPr="000416DF">
                <w:rPr>
                  <w:rStyle w:val="Hyperlink"/>
                </w:rPr>
                <w:t>link</w:t>
              </w:r>
            </w:hyperlink>
          </w:p>
          <w:p w14:paraId="0AC81644" w14:textId="77777777" w:rsidR="000416DF" w:rsidRDefault="000416DF"/>
          <w:p w14:paraId="3956A0E2" w14:textId="62D9AC74" w:rsidR="000416DF" w:rsidRDefault="00E819D2">
            <w:r>
              <w:t xml:space="preserve">Orientering fra Finanstilsynet om den forventede overgang til T+1: </w:t>
            </w:r>
            <w:hyperlink w:anchor="B" w:history="1">
              <w:r w:rsidRPr="00E819D2">
                <w:rPr>
                  <w:rStyle w:val="Hyperlink"/>
                </w:rPr>
                <w:t>link</w:t>
              </w:r>
            </w:hyperlink>
          </w:p>
          <w:p w14:paraId="18077C05" w14:textId="77777777" w:rsidR="00E819D2" w:rsidRDefault="00E819D2"/>
          <w:p w14:paraId="59507133" w14:textId="57E089E5" w:rsidR="00E819D2" w:rsidRDefault="00E819D2">
            <w:r>
              <w:t>Ny vejledning om egnethed og hæderlighed</w:t>
            </w:r>
            <w:r w:rsidR="00294D2E">
              <w:t xml:space="preserve">: </w:t>
            </w:r>
            <w:hyperlink w:anchor="C" w:history="1">
              <w:r w:rsidR="00294D2E" w:rsidRPr="00294D2E">
                <w:rPr>
                  <w:rStyle w:val="Hyperlink"/>
                </w:rPr>
                <w:t>link</w:t>
              </w:r>
            </w:hyperlink>
          </w:p>
          <w:p w14:paraId="76091FD4" w14:textId="77777777" w:rsidR="00294D2E" w:rsidRDefault="00294D2E"/>
          <w:p w14:paraId="25CEEA44" w14:textId="2BB1D164" w:rsidR="00294D2E" w:rsidRDefault="004E2E3B">
            <w:r>
              <w:t xml:space="preserve">Listing Act - ændringer i MAR, MiFIR m.v.: </w:t>
            </w:r>
            <w:hyperlink w:anchor="D" w:history="1">
              <w:r w:rsidRPr="004E2E3B">
                <w:rPr>
                  <w:rStyle w:val="Hyperlink"/>
                </w:rPr>
                <w:t>link</w:t>
              </w:r>
            </w:hyperlink>
          </w:p>
          <w:p w14:paraId="07552B9D" w14:textId="77777777" w:rsidR="00F66205" w:rsidRDefault="00F66205"/>
          <w:p w14:paraId="11943078" w14:textId="38C145F6" w:rsidR="00F66205" w:rsidRDefault="00F66205">
            <w:r>
              <w:t>Listing Act - ændringer i MiFID II:</w:t>
            </w:r>
            <w:r w:rsidR="00AA5ECD">
              <w:t xml:space="preserve"> </w:t>
            </w:r>
            <w:hyperlink w:anchor="F" w:history="1">
              <w:r w:rsidR="00AA5ECD" w:rsidRPr="00AA5ECD">
                <w:rPr>
                  <w:rStyle w:val="Hyperlink"/>
                </w:rPr>
                <w:t>link</w:t>
              </w:r>
            </w:hyperlink>
          </w:p>
          <w:p w14:paraId="06B102B3" w14:textId="77777777" w:rsidR="006015EC" w:rsidRDefault="006015EC"/>
          <w:p w14:paraId="0A9FB9A3" w14:textId="4FB5FDF0" w:rsidR="006015EC" w:rsidRDefault="004A5ADA">
            <w:r>
              <w:t>EBA a</w:t>
            </w:r>
            <w:r w:rsidR="00163DAB">
              <w:t>jourfør</w:t>
            </w:r>
            <w:r>
              <w:t>er</w:t>
            </w:r>
            <w:r w:rsidR="00163DAB">
              <w:t xml:space="preserve"> liste over </w:t>
            </w:r>
            <w:r>
              <w:t xml:space="preserve">egentlige </w:t>
            </w:r>
            <w:r w:rsidR="00163DAB">
              <w:t>kernekapitalinstrumenter:</w:t>
            </w:r>
            <w:r w:rsidR="007000DA">
              <w:t xml:space="preserve"> </w:t>
            </w:r>
            <w:hyperlink w:anchor="G" w:history="1">
              <w:r w:rsidR="007000DA" w:rsidRPr="007000DA">
                <w:rPr>
                  <w:rStyle w:val="Hyperlink"/>
                </w:rPr>
                <w:t>link</w:t>
              </w:r>
            </w:hyperlink>
          </w:p>
          <w:p w14:paraId="6C1CCC01" w14:textId="77777777" w:rsidR="004A5ADA" w:rsidRDefault="004A5ADA"/>
          <w:p w14:paraId="395E6219" w14:textId="0E7BDD27" w:rsidR="004A5ADA" w:rsidRDefault="00593B9B">
            <w:r>
              <w:t xml:space="preserve">ESMA </w:t>
            </w:r>
            <w:r w:rsidR="005128C4">
              <w:t>anbefaler</w:t>
            </w:r>
            <w:r>
              <w:t xml:space="preserve"> at overgå til T+1</w:t>
            </w:r>
            <w:r w:rsidR="002D68FB">
              <w:t xml:space="preserve"> i 2027</w:t>
            </w:r>
            <w:r w:rsidR="009F433A">
              <w:t xml:space="preserve">: </w:t>
            </w:r>
            <w:hyperlink w:anchor="H" w:history="1">
              <w:r w:rsidR="009F433A" w:rsidRPr="009F433A">
                <w:rPr>
                  <w:rStyle w:val="Hyperlink"/>
                </w:rPr>
                <w:t>link</w:t>
              </w:r>
            </w:hyperlink>
          </w:p>
          <w:p w14:paraId="774E809C" w14:textId="77777777" w:rsidR="004715BD" w:rsidRDefault="004715BD"/>
        </w:tc>
      </w:tr>
      <w:tr w:rsidR="00BE4C01" w14:paraId="531CF982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7BDC7261" w14:textId="6D8F2E20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DANSK REGULERING</w:t>
            </w:r>
          </w:p>
        </w:tc>
      </w:tr>
      <w:tr w:rsidR="00BE4C01" w14:paraId="31E09EB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199CDD40" w14:textId="62239D98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 xml:space="preserve"> Love</w:t>
            </w:r>
          </w:p>
        </w:tc>
      </w:tr>
      <w:tr w:rsidR="00BE4C01" w14:paraId="786DA9D6" w14:textId="77777777" w:rsidTr="00BE4C01">
        <w:tc>
          <w:tcPr>
            <w:tcW w:w="9628" w:type="dxa"/>
          </w:tcPr>
          <w:p w14:paraId="741D0092" w14:textId="77777777" w:rsidR="00BE4C01" w:rsidRDefault="00BE4C01"/>
          <w:p w14:paraId="38D2CEED" w14:textId="044C7BC2" w:rsidR="00576052" w:rsidRDefault="00576052">
            <w:r>
              <w:t>(intet nyt)</w:t>
            </w:r>
          </w:p>
          <w:p w14:paraId="1136A53C" w14:textId="77777777" w:rsidR="00576052" w:rsidRDefault="00576052"/>
        </w:tc>
      </w:tr>
      <w:tr w:rsidR="00BE4C01" w14:paraId="46B86ADE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2197C0B" w14:textId="3757CD86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Bekendtgørelse</w:t>
            </w:r>
            <w:r w:rsidR="00136D9B">
              <w:rPr>
                <w:b/>
                <w:bCs/>
              </w:rPr>
              <w:t>r</w:t>
            </w:r>
            <w:r w:rsidRPr="005945AC">
              <w:rPr>
                <w:b/>
                <w:bCs/>
              </w:rPr>
              <w:t xml:space="preserve"> m.v.</w:t>
            </w:r>
          </w:p>
        </w:tc>
      </w:tr>
      <w:tr w:rsidR="00BE4C01" w14:paraId="159B5602" w14:textId="77777777" w:rsidTr="00BE4C01">
        <w:tc>
          <w:tcPr>
            <w:tcW w:w="9628" w:type="dxa"/>
          </w:tcPr>
          <w:p w14:paraId="2BDE060F" w14:textId="77777777" w:rsidR="00BE4C01" w:rsidRDefault="00BE4C01"/>
          <w:p w14:paraId="4ADADA10" w14:textId="2E2A19A4" w:rsidR="001F0965" w:rsidRPr="00D77091" w:rsidRDefault="001F0965">
            <w:pPr>
              <w:rPr>
                <w:b/>
                <w:bCs/>
              </w:rPr>
            </w:pPr>
            <w:r w:rsidRPr="00D77091">
              <w:rPr>
                <w:b/>
                <w:bCs/>
              </w:rPr>
              <w:t>Bekendtgørelse</w:t>
            </w:r>
            <w:r w:rsidR="00D77091" w:rsidRPr="00D77091">
              <w:rPr>
                <w:b/>
                <w:bCs/>
              </w:rPr>
              <w:t xml:space="preserve"> nr. 1211 af 22. november 2024</w:t>
            </w:r>
            <w:r w:rsidRPr="00D77091">
              <w:rPr>
                <w:b/>
                <w:bCs/>
              </w:rPr>
              <w:t xml:space="preserve"> om ændring af bekendtgørelse om finansielle rapporter for kreditinstitutter og fondsmæglerselskaber m.fl.</w:t>
            </w:r>
          </w:p>
          <w:p w14:paraId="07A9CBBF" w14:textId="77777777" w:rsidR="00D77091" w:rsidRDefault="00D77091"/>
          <w:p w14:paraId="708D1066" w14:textId="6FA88897" w:rsidR="00C53794" w:rsidRDefault="00594E77">
            <w:r>
              <w:t>Be</w:t>
            </w:r>
            <w:r w:rsidR="00CA403D">
              <w:t xml:space="preserve">kendtgørelsen indeholder mindre ændringer, </w:t>
            </w:r>
            <w:r w:rsidR="00564276">
              <w:t>herunder opdateringer af definitione</w:t>
            </w:r>
            <w:r w:rsidR="002441A8">
              <w:t>rne på små og mellemstore virksomheder</w:t>
            </w:r>
            <w:r w:rsidR="00CA403D">
              <w:t>.</w:t>
            </w:r>
            <w:r w:rsidR="00403B30">
              <w:t xml:space="preserve"> De øvrige ændringer har ikke </w:t>
            </w:r>
            <w:r w:rsidR="00455123">
              <w:t xml:space="preserve">i praksis </w:t>
            </w:r>
            <w:r w:rsidR="00403B30">
              <w:t>relevan</w:t>
            </w:r>
            <w:r w:rsidR="00455123">
              <w:t>s</w:t>
            </w:r>
            <w:r w:rsidR="00403B30">
              <w:t xml:space="preserve"> for fondsmæglerselskaber</w:t>
            </w:r>
            <w:r w:rsidR="00455123">
              <w:t xml:space="preserve"> p.t</w:t>
            </w:r>
            <w:r w:rsidR="00403B30">
              <w:t>.</w:t>
            </w:r>
            <w:r w:rsidR="00CA403D">
              <w:t xml:space="preserve"> </w:t>
            </w:r>
            <w:r w:rsidR="00C53794" w:rsidRPr="00C53794">
              <w:t>Bekendtgørelsen træder i kraft den 1. januar 2025 og har virkning for regnskabsår</w:t>
            </w:r>
            <w:r w:rsidR="00B40C99">
              <w:t>,</w:t>
            </w:r>
            <w:r w:rsidR="00C53794" w:rsidRPr="00C53794">
              <w:t xml:space="preserve"> der begynder den 1. januar 2024.</w:t>
            </w:r>
          </w:p>
          <w:p w14:paraId="001EC1ED" w14:textId="77777777" w:rsidR="00C53794" w:rsidRDefault="00C53794"/>
          <w:p w14:paraId="7D8BF563" w14:textId="7F502583" w:rsidR="00D77091" w:rsidRDefault="005B2B9A">
            <w:r>
              <w:t>(Offentliggjort den 26. november 202</w:t>
            </w:r>
            <w:r w:rsidR="00DB648C">
              <w:t>4</w:t>
            </w:r>
            <w:r>
              <w:t xml:space="preserve">, </w:t>
            </w:r>
            <w:hyperlink r:id="rId9" w:history="1">
              <w:r w:rsidRPr="005B2B9A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2A436323" w14:textId="77777777" w:rsidR="00084EA7" w:rsidRDefault="00084EA7"/>
          <w:p w14:paraId="088132D0" w14:textId="77777777" w:rsidR="00084EA7" w:rsidRPr="00084EA7" w:rsidRDefault="00084EA7" w:rsidP="00084EA7">
            <w:pPr>
              <w:rPr>
                <w:b/>
                <w:bCs/>
              </w:rPr>
            </w:pPr>
            <w:bookmarkStart w:id="0" w:name="A"/>
            <w:bookmarkStart w:id="1" w:name="B"/>
            <w:r w:rsidRPr="00084EA7">
              <w:rPr>
                <w:b/>
                <w:bCs/>
              </w:rPr>
              <w:t>Finansielle virksomheder skal forberede sig på en kortere periode for afvikling af værdipapirhandler</w:t>
            </w:r>
          </w:p>
          <w:bookmarkEnd w:id="0"/>
          <w:bookmarkEnd w:id="1"/>
          <w:p w14:paraId="6ADA5C8D" w14:textId="77777777" w:rsidR="00084EA7" w:rsidRDefault="00084EA7"/>
          <w:p w14:paraId="39211D0B" w14:textId="7CADAF99" w:rsidR="00CB2775" w:rsidRDefault="00CB2775">
            <w:r>
              <w:t>Finanstilsynet orienterer om den forventede overgang til T+1</w:t>
            </w:r>
            <w:r w:rsidR="00EB540C">
              <w:t xml:space="preserve"> og </w:t>
            </w:r>
            <w:r w:rsidR="00FB4C4A">
              <w:t>minder om</w:t>
            </w:r>
            <w:r w:rsidR="00EB540C">
              <w:t xml:space="preserve"> det vigtige i, at virksomhederne </w:t>
            </w:r>
            <w:r w:rsidRPr="00CB2775">
              <w:t>forbereder sig i god tid.</w:t>
            </w:r>
          </w:p>
          <w:p w14:paraId="04905AFD" w14:textId="77777777" w:rsidR="001F0965" w:rsidRDefault="001F0965"/>
          <w:p w14:paraId="1D6C6355" w14:textId="0C9AB44C" w:rsidR="00EB540C" w:rsidRDefault="007D1B63">
            <w:r>
              <w:t xml:space="preserve">(Offentliggjort den 28. november 2024, </w:t>
            </w:r>
            <w:hyperlink r:id="rId10" w:history="1">
              <w:r w:rsidRPr="007D1B63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60CBF5C4" w14:textId="77777777" w:rsidR="00EB540C" w:rsidRDefault="00EB540C"/>
          <w:p w14:paraId="7F140134" w14:textId="1B63790B" w:rsidR="00CC60F7" w:rsidRPr="00A15C41" w:rsidRDefault="00CC60F7">
            <w:pPr>
              <w:rPr>
                <w:b/>
                <w:bCs/>
              </w:rPr>
            </w:pPr>
            <w:bookmarkStart w:id="2" w:name="C"/>
            <w:r w:rsidRPr="00A15C41">
              <w:rPr>
                <w:b/>
                <w:bCs/>
              </w:rPr>
              <w:t>Vejledning</w:t>
            </w:r>
            <w:r w:rsidR="007E42A4" w:rsidRPr="00A15C41">
              <w:rPr>
                <w:b/>
                <w:bCs/>
              </w:rPr>
              <w:t xml:space="preserve"> nr. 10006 af 29. november 2024</w:t>
            </w:r>
            <w:r w:rsidRPr="00A15C41">
              <w:rPr>
                <w:b/>
                <w:bCs/>
              </w:rPr>
              <w:t xml:space="preserve"> om egnethed og hæderlighed for bestyrelsesmedlemmer, direktionsmedlemmer og nøglefunktioner i finansielle virksomheder, m.fl.</w:t>
            </w:r>
          </w:p>
          <w:bookmarkEnd w:id="2"/>
          <w:p w14:paraId="217B622F" w14:textId="77777777" w:rsidR="00186905" w:rsidRDefault="00186905"/>
          <w:p w14:paraId="49A6C1DE" w14:textId="3061580B" w:rsidR="007E42A4" w:rsidRDefault="00A15C41">
            <w:r>
              <w:t>V</w:t>
            </w:r>
            <w:r w:rsidRPr="00A15C41">
              <w:t>ejledning</w:t>
            </w:r>
            <w:r>
              <w:t>en</w:t>
            </w:r>
            <w:r w:rsidRPr="00A15C41">
              <w:t xml:space="preserve"> erstatter Finanstilsynets vejledning nr. 9291 af 15. maj 2014 om krav i den finansielle lovgivning til direktørers og bestyrelsesmedlemmers egnethed og hæderlighed (fit og proper).</w:t>
            </w:r>
            <w:r w:rsidR="00E37CAD">
              <w:t xml:space="preserve"> Den finder </w:t>
            </w:r>
            <w:r w:rsidR="00E37CAD">
              <w:lastRenderedPageBreak/>
              <w:t xml:space="preserve">bl.a. anvendelse på </w:t>
            </w:r>
            <w:r w:rsidR="00E37CAD" w:rsidRPr="00E37CAD">
              <w:t xml:space="preserve">bestyrelsesmedlemmer og direktionsmedlemmer i fondsmæglerselskaber </w:t>
            </w:r>
            <w:r w:rsidR="006D0521">
              <w:t xml:space="preserve">og </w:t>
            </w:r>
            <w:r w:rsidR="00E37CAD" w:rsidRPr="00E37CAD">
              <w:t>fondsmæglerholdingvirksomheder.</w:t>
            </w:r>
          </w:p>
          <w:p w14:paraId="7020FF8E" w14:textId="4A031D65" w:rsidR="006D0521" w:rsidRDefault="002007F3">
            <w:r>
              <w:t>Vejledningen indeholder oplysninger om</w:t>
            </w:r>
            <w:r w:rsidR="008B2EDA">
              <w:t xml:space="preserve"> de oplysninger, der skal afgives ved godkendelsen hos Finanstilsynet,</w:t>
            </w:r>
            <w:r>
              <w:t xml:space="preserve"> processen for godkendelse </w:t>
            </w:r>
            <w:r w:rsidR="00544D59">
              <w:t xml:space="preserve">samt om de </w:t>
            </w:r>
            <w:r w:rsidR="00C72B03">
              <w:t>forhold, som Finanstilsynet inddrager i sin vurdering</w:t>
            </w:r>
            <w:r>
              <w:t>.</w:t>
            </w:r>
            <w:r w:rsidR="00220B97">
              <w:t xml:space="preserve"> Vejledningen indeholder endvidere et særligt afsnit om </w:t>
            </w:r>
            <w:r w:rsidR="00997BAA">
              <w:t>brugen af betingede godkendelser samt anvendelsen af interviews som en del af godkendelsesprocessen.</w:t>
            </w:r>
          </w:p>
          <w:p w14:paraId="0B3DF487" w14:textId="77777777" w:rsidR="00544D59" w:rsidRDefault="00544D59"/>
          <w:p w14:paraId="78E88AD1" w14:textId="15CDBB87" w:rsidR="00544D59" w:rsidRDefault="00544D59">
            <w:r>
              <w:t xml:space="preserve">(Offentliggjort den 30. november 2024, </w:t>
            </w:r>
            <w:hyperlink r:id="rId11" w:history="1">
              <w:r w:rsidRPr="00544D59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2BE89B52" w14:textId="77777777" w:rsidR="00CC60F7" w:rsidRDefault="00CC60F7"/>
        </w:tc>
      </w:tr>
      <w:tr w:rsidR="00BE4C01" w14:paraId="2E8F680D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33F4D91" w14:textId="215F6731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EU-REGULERING (forordninger)</w:t>
            </w:r>
          </w:p>
        </w:tc>
      </w:tr>
      <w:tr w:rsidR="00BE4C01" w14:paraId="6AF8D239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C426A68" w14:textId="017C4220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1</w:t>
            </w:r>
          </w:p>
        </w:tc>
      </w:tr>
      <w:tr w:rsidR="00BE4C01" w:rsidRPr="00FE5DB1" w14:paraId="1DF6C69F" w14:textId="77777777" w:rsidTr="00BE4C01">
        <w:tc>
          <w:tcPr>
            <w:tcW w:w="9628" w:type="dxa"/>
          </w:tcPr>
          <w:p w14:paraId="1068822D" w14:textId="77777777" w:rsidR="00BE4C01" w:rsidRDefault="00BE4C01"/>
          <w:p w14:paraId="2E01EFC2" w14:textId="77777777" w:rsidR="006C19F9" w:rsidRPr="00B17EBE" w:rsidRDefault="006C19F9" w:rsidP="006C19F9">
            <w:pPr>
              <w:jc w:val="both"/>
              <w:rPr>
                <w:b/>
                <w:bCs/>
              </w:rPr>
            </w:pPr>
            <w:bookmarkStart w:id="3" w:name="D"/>
            <w:r w:rsidRPr="00B17EBE">
              <w:rPr>
                <w:b/>
                <w:bCs/>
              </w:rPr>
              <w:t xml:space="preserve">Europa-Parlamentets og Rådets forordning (EU) 2024/2809 af 23. oktober 2024 om ændring af forordning (EU) 2017/1129, (EU) nr. 596/2014 og (EU) nr. 600/2014 med henblik på at gøre offentlige kapitalmarkeder i Unionen mere attraktive for selskaber og lette adgangen til kapital for små og mellemstore virksomheder </w:t>
            </w:r>
          </w:p>
          <w:bookmarkEnd w:id="3"/>
          <w:p w14:paraId="606B177E" w14:textId="77777777" w:rsidR="00186905" w:rsidRDefault="00186905" w:rsidP="006C19F9">
            <w:pPr>
              <w:jc w:val="both"/>
            </w:pPr>
          </w:p>
          <w:p w14:paraId="1B57C157" w14:textId="69FF37A8" w:rsidR="006C19F9" w:rsidRPr="0025206C" w:rsidRDefault="006C19F9" w:rsidP="006C19F9">
            <w:pPr>
              <w:jc w:val="both"/>
            </w:pPr>
            <w:r w:rsidRPr="0025206C">
              <w:t>Forordningen ændrer i prospektforordningen, MAR og MiFIR og indeholder primært ændringer på kapitalmarkedsområdet, bl.a. i forhold til krav om og til prospekter, tilbagekøbsprogrammer, market soundings, intern viden og ækvivalensordning i forhold til prospekter fra tredjelande.</w:t>
            </w:r>
          </w:p>
          <w:p w14:paraId="10A0F49C" w14:textId="77777777" w:rsidR="006C19F9" w:rsidRPr="0025206C" w:rsidRDefault="006C19F9" w:rsidP="006C19F9">
            <w:pPr>
              <w:jc w:val="both"/>
            </w:pPr>
            <w:r w:rsidRPr="0025206C">
              <w:t>Forordningen finder anvendelse fra dels den 5. marts 2026, dels den 5. juni 2026.</w:t>
            </w:r>
          </w:p>
          <w:p w14:paraId="231991C7" w14:textId="77777777" w:rsidR="00426C1B" w:rsidRDefault="00426C1B" w:rsidP="006C19F9">
            <w:pPr>
              <w:jc w:val="both"/>
            </w:pPr>
          </w:p>
          <w:p w14:paraId="09D4BB86" w14:textId="0A5968E3" w:rsidR="006C19F9" w:rsidRDefault="006C19F9" w:rsidP="006C19F9">
            <w:pPr>
              <w:jc w:val="both"/>
            </w:pPr>
            <w:r w:rsidRPr="0025206C">
              <w:t xml:space="preserve">(Offentliggjort den 14. november 2024, </w:t>
            </w:r>
            <w:hyperlink r:id="rId12" w:history="1">
              <w:r w:rsidRPr="0025206C">
                <w:rPr>
                  <w:rStyle w:val="Hyperlink"/>
                </w:rPr>
                <w:t>link</w:t>
              </w:r>
            </w:hyperlink>
            <w:r w:rsidRPr="0025206C">
              <w:t>)</w:t>
            </w:r>
          </w:p>
          <w:p w14:paraId="5B4CD7DC" w14:textId="77777777" w:rsidR="006C19F9" w:rsidRDefault="006C19F9" w:rsidP="00382C9C"/>
          <w:p w14:paraId="593987EA" w14:textId="4F809AC0" w:rsidR="00065059" w:rsidRPr="00B17EBE" w:rsidRDefault="00065059" w:rsidP="00382C9C">
            <w:pPr>
              <w:jc w:val="both"/>
              <w:rPr>
                <w:b/>
                <w:bCs/>
              </w:rPr>
            </w:pPr>
            <w:bookmarkStart w:id="4" w:name="E"/>
            <w:bookmarkStart w:id="5" w:name="F"/>
            <w:r w:rsidRPr="00B17EBE">
              <w:rPr>
                <w:b/>
                <w:bCs/>
              </w:rPr>
              <w:t>Europa-Parlamentets og Rådets direktiv (EU) 2024/2811 af 23. oktober 2024 om ændring af direktiv 2014/65/EU med henblik på at gøre offentlige kapitalmarkeder i Unionen mere attraktive for selskaber og lette adgangen til kapital for små og mellemstore virksomheder</w:t>
            </w:r>
            <w:r>
              <w:rPr>
                <w:b/>
                <w:bCs/>
              </w:rPr>
              <w:t xml:space="preserve"> </w:t>
            </w:r>
            <w:r w:rsidRPr="00B17EBE">
              <w:rPr>
                <w:b/>
                <w:bCs/>
              </w:rPr>
              <w:t xml:space="preserve">og om ophævelse af direktiv 2001/34/EF </w:t>
            </w:r>
          </w:p>
          <w:bookmarkEnd w:id="4"/>
          <w:bookmarkEnd w:id="5"/>
          <w:p w14:paraId="1D851CC5" w14:textId="77777777" w:rsidR="00186905" w:rsidRDefault="00186905" w:rsidP="00382C9C">
            <w:pPr>
              <w:jc w:val="both"/>
            </w:pPr>
          </w:p>
          <w:p w14:paraId="0F200489" w14:textId="0771382F" w:rsidR="00065059" w:rsidRDefault="00065059" w:rsidP="00382C9C">
            <w:pPr>
              <w:jc w:val="both"/>
            </w:pPr>
            <w:r>
              <w:t xml:space="preserve">Direktivet ændrer i MiFID II. Dette sker herunder vedrørende betaling for analyser og ordreudførelse, hvor kravene til adskillelsen lempes og suppleres af et krav om information til kunderne. I forhold til </w:t>
            </w:r>
            <w:r w:rsidRPr="00763EFD">
              <w:t>udstedersponsorerede analyser</w:t>
            </w:r>
            <w:r>
              <w:t xml:space="preserve"> tillægges myndighederne beføjelser til at kontrollere, at</w:t>
            </w:r>
            <w:r w:rsidRPr="00763EFD">
              <w:t xml:space="preserve"> investeringsselskaber, der udarbejder eller distribuerer analyser</w:t>
            </w:r>
            <w:r>
              <w:t>ne</w:t>
            </w:r>
            <w:r w:rsidRPr="00763EFD">
              <w:t>, har indført organisatoriske ordninger til at sikre en overholdelse</w:t>
            </w:r>
            <w:r>
              <w:t xml:space="preserve"> af et </w:t>
            </w:r>
            <w:r w:rsidRPr="008577D9">
              <w:t>EU-adfærdskodeks for udstedersponsorerede analyser</w:t>
            </w:r>
            <w:r>
              <w:t>, der skal udvikles under niveau 2</w:t>
            </w:r>
            <w:r w:rsidRPr="00763EFD">
              <w:t>.</w:t>
            </w:r>
            <w:r>
              <w:t xml:space="preserve"> </w:t>
            </w:r>
          </w:p>
          <w:p w14:paraId="663DDBD2" w14:textId="77777777" w:rsidR="00065059" w:rsidRDefault="00065059" w:rsidP="00382C9C">
            <w:pPr>
              <w:jc w:val="both"/>
            </w:pPr>
            <w:r>
              <w:t xml:space="preserve">Direktivændringerne skal anvendes i national </w:t>
            </w:r>
            <w:r w:rsidRPr="00B10C07">
              <w:t>fra den 6. juni 2026.</w:t>
            </w:r>
          </w:p>
          <w:p w14:paraId="08B1657E" w14:textId="77777777" w:rsidR="009664BE" w:rsidRDefault="009664BE" w:rsidP="00382C9C">
            <w:pPr>
              <w:jc w:val="both"/>
            </w:pPr>
          </w:p>
          <w:p w14:paraId="6E26F894" w14:textId="0CA3F317" w:rsidR="00065059" w:rsidRDefault="00065059" w:rsidP="00382C9C">
            <w:pPr>
              <w:jc w:val="both"/>
            </w:pPr>
            <w:r>
              <w:t xml:space="preserve">(Offentliggjort den 14. november 2024, </w:t>
            </w:r>
            <w:hyperlink r:id="rId13" w:history="1">
              <w:r w:rsidRPr="00B17EBE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010E559B" w14:textId="77777777" w:rsidR="006C19F9" w:rsidRPr="00FE5DB1" w:rsidRDefault="006C19F9" w:rsidP="008E147E">
            <w:pPr>
              <w:jc w:val="both"/>
              <w:rPr>
                <w:lang w:val="en-US"/>
              </w:rPr>
            </w:pPr>
          </w:p>
        </w:tc>
      </w:tr>
      <w:tr w:rsidR="00BE4C01" w14:paraId="33726393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5443431C" w14:textId="42CA405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Niveau 2</w:t>
            </w:r>
          </w:p>
        </w:tc>
      </w:tr>
      <w:tr w:rsidR="00BE4C01" w14:paraId="041C1121" w14:textId="77777777" w:rsidTr="00BE4C01">
        <w:tc>
          <w:tcPr>
            <w:tcW w:w="9628" w:type="dxa"/>
          </w:tcPr>
          <w:p w14:paraId="4FACB556" w14:textId="77777777" w:rsidR="009C023C" w:rsidRDefault="009C023C"/>
          <w:p w14:paraId="300A6EA7" w14:textId="77777777" w:rsidR="0006356A" w:rsidRPr="0006356A" w:rsidRDefault="0006356A" w:rsidP="009365ED">
            <w:pPr>
              <w:jc w:val="both"/>
              <w:rPr>
                <w:b/>
                <w:bCs/>
              </w:rPr>
            </w:pPr>
            <w:r w:rsidRPr="00FE5DB1">
              <w:rPr>
                <w:b/>
                <w:bCs/>
              </w:rPr>
              <w:t>Kommissionen fremsætter yderligere præciseringer af EU's klassificeringssystem for bæredygtige økonomiske aktiviteter</w:t>
            </w:r>
          </w:p>
          <w:p w14:paraId="0AC6FA7A" w14:textId="77777777" w:rsidR="00716D28" w:rsidRDefault="00716D28" w:rsidP="00716D28">
            <w:pPr>
              <w:jc w:val="both"/>
            </w:pPr>
          </w:p>
          <w:p w14:paraId="1A511178" w14:textId="13F3F60C" w:rsidR="004319AE" w:rsidRDefault="004319AE" w:rsidP="00716EA4">
            <w:pPr>
              <w:jc w:val="both"/>
            </w:pPr>
            <w:r w:rsidRPr="004319AE">
              <w:t>Kommissionen har offentliggjort</w:t>
            </w:r>
            <w:r w:rsidR="001676FC">
              <w:t xml:space="preserve"> svar på</w:t>
            </w:r>
            <w:r w:rsidRPr="004319AE">
              <w:t xml:space="preserve"> en række ofte stillede spørgsmål for at støtte interessenter i gennemførelsen af EU-</w:t>
            </w:r>
            <w:r>
              <w:t>taksonomi</w:t>
            </w:r>
            <w:r w:rsidR="00CC4679">
              <w:t>systemet.</w:t>
            </w:r>
          </w:p>
          <w:p w14:paraId="29C4FC63" w14:textId="77777777" w:rsidR="00CC4679" w:rsidRPr="004319AE" w:rsidRDefault="00CC4679" w:rsidP="00716EA4">
            <w:pPr>
              <w:jc w:val="both"/>
            </w:pPr>
          </w:p>
          <w:p w14:paraId="0E83C209" w14:textId="77777777" w:rsidR="00716D28" w:rsidRPr="00FE5DB1" w:rsidRDefault="00716D28" w:rsidP="00716D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C4679">
              <w:t xml:space="preserve">Offentliggjort den 29. november 2024, </w:t>
            </w:r>
            <w:hyperlink r:id="rId14" w:history="1">
              <w:r w:rsidRPr="00CC4679">
                <w:rPr>
                  <w:rStyle w:val="Hyperlink"/>
                </w:rPr>
                <w:t>link</w:t>
              </w:r>
            </w:hyperlink>
            <w:r w:rsidRPr="00CC4679">
              <w:t>)</w:t>
            </w:r>
          </w:p>
          <w:p w14:paraId="570C0B58" w14:textId="77777777" w:rsidR="00716D28" w:rsidRDefault="00716D28"/>
        </w:tc>
      </w:tr>
      <w:tr w:rsidR="00BE4C01" w14:paraId="15D16C97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2EAF4AB2" w14:textId="47D47A5D" w:rsidR="00BE4C01" w:rsidRPr="005945AC" w:rsidRDefault="00BE4C01" w:rsidP="00BE4C0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RETNINGSLINJER FRA ESA’ERNE</w:t>
            </w:r>
          </w:p>
        </w:tc>
      </w:tr>
      <w:tr w:rsidR="00BE4C01" w14:paraId="7EFB212B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8A36234" w14:textId="6C0B6A7D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lastRenderedPageBreak/>
              <w:t>EBA</w:t>
            </w:r>
          </w:p>
        </w:tc>
      </w:tr>
      <w:tr w:rsidR="00BE4C01" w14:paraId="46B54A56" w14:textId="77777777" w:rsidTr="00BE4C01">
        <w:tc>
          <w:tcPr>
            <w:tcW w:w="9628" w:type="dxa"/>
          </w:tcPr>
          <w:p w14:paraId="5DFD6BF6" w14:textId="77777777" w:rsidR="00BE4C01" w:rsidRDefault="00BE4C01"/>
          <w:p w14:paraId="0DF9C78E" w14:textId="77777777" w:rsidR="00334605" w:rsidRPr="00D849D2" w:rsidRDefault="00334605" w:rsidP="00334605">
            <w:pPr>
              <w:jc w:val="both"/>
              <w:rPr>
                <w:b/>
                <w:bCs/>
              </w:rPr>
            </w:pPr>
            <w:bookmarkStart w:id="6" w:name="G"/>
            <w:r w:rsidRPr="00D849D2">
              <w:rPr>
                <w:b/>
                <w:bCs/>
              </w:rPr>
              <w:t>EBA ajourfører sin liste over egentlige kernekapitalinstrumenter</w:t>
            </w:r>
          </w:p>
          <w:bookmarkEnd w:id="6"/>
          <w:p w14:paraId="564B29E9" w14:textId="77777777" w:rsidR="009664BE" w:rsidRDefault="009664BE" w:rsidP="00334605">
            <w:pPr>
              <w:jc w:val="both"/>
            </w:pPr>
          </w:p>
          <w:p w14:paraId="42693B33" w14:textId="0C2A855E" w:rsidR="00334605" w:rsidRPr="00D849D2" w:rsidRDefault="00334605" w:rsidP="00334605">
            <w:pPr>
              <w:jc w:val="both"/>
            </w:pPr>
            <w:r w:rsidRPr="00B87870">
              <w:t>EBA</w:t>
            </w:r>
            <w:r>
              <w:t xml:space="preserve"> har</w:t>
            </w:r>
            <w:r w:rsidRPr="00B87870">
              <w:t xml:space="preserve"> offentliggjor</w:t>
            </w:r>
            <w:r>
              <w:t>t</w:t>
            </w:r>
            <w:r w:rsidRPr="00B87870">
              <w:t xml:space="preserve"> en opdateret liste over kapitalinstrumenter, der er klassificeret som egentlig kernekapital (CET1).</w:t>
            </w:r>
            <w:r>
              <w:t xml:space="preserve"> </w:t>
            </w:r>
            <w:r w:rsidRPr="00D849D2">
              <w:t xml:space="preserve">Siden offentliggørelsen af den foregående opdatering i december 2022 er </w:t>
            </w:r>
            <w:r>
              <w:t xml:space="preserve">bl.a. </w:t>
            </w:r>
            <w:r w:rsidRPr="00D849D2">
              <w:t>instrumenter</w:t>
            </w:r>
            <w:r>
              <w:t xml:space="preserve"> omfattet af en overgangsordning</w:t>
            </w:r>
            <w:r w:rsidRPr="00D849D2">
              <w:t xml:space="preserve"> blevet</w:t>
            </w:r>
            <w:r>
              <w:t xml:space="preserve"> slettet.</w:t>
            </w:r>
          </w:p>
          <w:p w14:paraId="66F0F631" w14:textId="77777777" w:rsidR="009664BE" w:rsidRDefault="009664BE" w:rsidP="00334605">
            <w:pPr>
              <w:jc w:val="both"/>
            </w:pPr>
          </w:p>
          <w:p w14:paraId="5A10EF3D" w14:textId="1C93A36B" w:rsidR="00334605" w:rsidRPr="00D849D2" w:rsidRDefault="00334605" w:rsidP="00334605">
            <w:pPr>
              <w:jc w:val="both"/>
            </w:pPr>
            <w:r w:rsidRPr="00D849D2">
              <w:t xml:space="preserve">(Offentliggjort den </w:t>
            </w:r>
            <w:r>
              <w:t>20</w:t>
            </w:r>
            <w:r w:rsidRPr="00D849D2">
              <w:t>. november 2024,</w:t>
            </w:r>
            <w:r>
              <w:t xml:space="preserve"> </w:t>
            </w:r>
            <w:hyperlink r:id="rId15" w:history="1">
              <w:r w:rsidRPr="00D849D2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5E1E2D1B" w14:textId="77777777" w:rsidR="00334605" w:rsidRDefault="00334605" w:rsidP="00E43E50"/>
        </w:tc>
      </w:tr>
      <w:tr w:rsidR="00BE4C01" w14:paraId="2CFF0838" w14:textId="77777777" w:rsidTr="0045749D">
        <w:tc>
          <w:tcPr>
            <w:tcW w:w="9628" w:type="dxa"/>
            <w:shd w:val="clear" w:color="auto" w:fill="D9D9D9" w:themeFill="background1" w:themeFillShade="D9"/>
          </w:tcPr>
          <w:p w14:paraId="01FEF4B9" w14:textId="752585A1" w:rsidR="00BE4C01" w:rsidRPr="005945AC" w:rsidRDefault="00BE4C01" w:rsidP="00BE4C01">
            <w:pPr>
              <w:pStyle w:val="Listeafsnit"/>
              <w:numPr>
                <w:ilvl w:val="1"/>
                <w:numId w:val="1"/>
              </w:numPr>
              <w:rPr>
                <w:b/>
                <w:bCs/>
              </w:rPr>
            </w:pPr>
            <w:r w:rsidRPr="005945AC">
              <w:rPr>
                <w:b/>
                <w:bCs/>
              </w:rPr>
              <w:t>ESMA</w:t>
            </w:r>
          </w:p>
        </w:tc>
      </w:tr>
      <w:tr w:rsidR="00BE4C01" w14:paraId="7F315866" w14:textId="77777777" w:rsidTr="00BE4C01">
        <w:tc>
          <w:tcPr>
            <w:tcW w:w="9628" w:type="dxa"/>
          </w:tcPr>
          <w:p w14:paraId="0F1B0F02" w14:textId="77777777" w:rsidR="00BE4C01" w:rsidRDefault="00BE4C01"/>
          <w:p w14:paraId="38656B9E" w14:textId="77777777" w:rsidR="00130801" w:rsidRPr="00BC24A1" w:rsidRDefault="00130801" w:rsidP="00130801">
            <w:pPr>
              <w:jc w:val="both"/>
              <w:rPr>
                <w:b/>
                <w:bCs/>
              </w:rPr>
            </w:pPr>
            <w:bookmarkStart w:id="7" w:name="H"/>
            <w:r w:rsidRPr="00BC24A1">
              <w:rPr>
                <w:b/>
                <w:bCs/>
              </w:rPr>
              <w:t>ESMA foreslår at gå over til T+1 senest i oktober 2027</w:t>
            </w:r>
          </w:p>
          <w:bookmarkEnd w:id="7"/>
          <w:p w14:paraId="0873C162" w14:textId="77777777" w:rsidR="009664BE" w:rsidRDefault="009664BE" w:rsidP="00130801">
            <w:pPr>
              <w:jc w:val="both"/>
            </w:pPr>
          </w:p>
          <w:p w14:paraId="25DE718E" w14:textId="52AE6C0B" w:rsidR="00130801" w:rsidRPr="00BC24A1" w:rsidRDefault="00130801" w:rsidP="00130801">
            <w:pPr>
              <w:jc w:val="both"/>
            </w:pPr>
            <w:r>
              <w:t xml:space="preserve">ESMA </w:t>
            </w:r>
            <w:r w:rsidRPr="00BC24A1">
              <w:t>har offentliggjort sin endelige rapport med en vurdering af afkortningen af afviklingscyklussen i EU.</w:t>
            </w:r>
          </w:p>
          <w:p w14:paraId="61B7104D" w14:textId="77777777" w:rsidR="00130801" w:rsidRDefault="00130801" w:rsidP="00130801">
            <w:pPr>
              <w:jc w:val="both"/>
            </w:pPr>
            <w:r w:rsidRPr="001327F5">
              <w:t xml:space="preserve">ESMA anbefaler, at overgangen til T+1 sker samtidigt på tværs af alle relevante instrumenter, og at den </w:t>
            </w:r>
            <w:r>
              <w:t xml:space="preserve">gennemføres </w:t>
            </w:r>
            <w:r w:rsidRPr="001327F5">
              <w:t xml:space="preserve">i 4. kvartal 2027. </w:t>
            </w:r>
          </w:p>
          <w:p w14:paraId="1D64A1CF" w14:textId="77777777" w:rsidR="009664BE" w:rsidRDefault="009664BE" w:rsidP="00130801">
            <w:pPr>
              <w:jc w:val="both"/>
            </w:pPr>
          </w:p>
          <w:p w14:paraId="46F95142" w14:textId="5BCE88D8" w:rsidR="00130801" w:rsidRDefault="00130801" w:rsidP="00130801">
            <w:pPr>
              <w:jc w:val="both"/>
            </w:pPr>
            <w:r w:rsidRPr="006B7706">
              <w:t xml:space="preserve">(Offentliggjort den </w:t>
            </w:r>
            <w:r>
              <w:t>18</w:t>
            </w:r>
            <w:r w:rsidRPr="006B7706">
              <w:t>. november 2024</w:t>
            </w:r>
            <w:r>
              <w:t xml:space="preserve">, </w:t>
            </w:r>
            <w:hyperlink r:id="rId16" w:history="1">
              <w:r w:rsidRPr="00BC24A1">
                <w:rPr>
                  <w:rStyle w:val="Hyperlink"/>
                </w:rPr>
                <w:t>link</w:t>
              </w:r>
            </w:hyperlink>
            <w:r>
              <w:t>)</w:t>
            </w:r>
          </w:p>
          <w:p w14:paraId="29E632A3" w14:textId="77777777" w:rsidR="00130801" w:rsidRDefault="00130801"/>
        </w:tc>
      </w:tr>
    </w:tbl>
    <w:p w14:paraId="329D25E6" w14:textId="77777777" w:rsidR="00BE4C01" w:rsidRDefault="00BE4C01"/>
    <w:p w14:paraId="251BD954" w14:textId="54A22563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Denne oversigt over ny finansiel regulering er udvalgt af </w:t>
      </w:r>
      <w:r w:rsidR="001928E1">
        <w:rPr>
          <w:i/>
          <w:iCs/>
        </w:rPr>
        <w:t>Equity Law Advokatanpartsselskab</w:t>
      </w:r>
      <w:r w:rsidRPr="00BE4C01">
        <w:rPr>
          <w:i/>
          <w:iCs/>
        </w:rPr>
        <w:t xml:space="preserve"> ud fra regulering, der retter sig direkte til fondsmæglerselskaber og deres holdingvirksomheder. Oversigten er en informationstjeneste og udgør ikke juridisk rådgivning, og </w:t>
      </w:r>
      <w:r w:rsidR="000A03EB">
        <w:rPr>
          <w:i/>
          <w:iCs/>
        </w:rPr>
        <w:t>Equity Law Advokatanpartsselskab</w:t>
      </w:r>
      <w:r w:rsidRPr="00BE4C01">
        <w:rPr>
          <w:i/>
          <w:iCs/>
        </w:rPr>
        <w:t xml:space="preserve"> påtager sig ikke ansvar for fejl eller mangler. </w:t>
      </w:r>
      <w:r w:rsidRPr="00BE4C01">
        <w:rPr>
          <w:noProof/>
        </w:rPr>
        <w:drawing>
          <wp:anchor distT="0" distB="0" distL="114300" distR="114300" simplePos="0" relativeHeight="251659264" behindDoc="0" locked="0" layoutInCell="1" allowOverlap="1" wp14:anchorId="7F4E4D6D" wp14:editId="79FD38D8">
            <wp:simplePos x="0" y="0"/>
            <wp:positionH relativeFrom="column">
              <wp:posOffset>-4098</wp:posOffset>
            </wp:positionH>
            <wp:positionV relativeFrom="paragraph">
              <wp:posOffset>168</wp:posOffset>
            </wp:positionV>
            <wp:extent cx="1401445" cy="1504950"/>
            <wp:effectExtent l="0" t="0" r="8255" b="0"/>
            <wp:wrapSquare wrapText="bothSides"/>
            <wp:docPr id="1686948146" name="Billede 1686948146" descr="Et billede, der indeholder person, mur, menne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ur, menneske, indendørs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5"/>
                    <a:stretch/>
                  </pic:blipFill>
                  <pic:spPr bwMode="auto">
                    <a:xfrm>
                      <a:off x="0" y="0"/>
                      <a:ext cx="14014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D39AB" w14:textId="228586F2" w:rsidR="00BE4C01" w:rsidRPr="00BE4C01" w:rsidRDefault="00BE4C01" w:rsidP="00BE4C01">
      <w:pPr>
        <w:rPr>
          <w:i/>
          <w:iCs/>
        </w:rPr>
      </w:pPr>
      <w:r w:rsidRPr="00BE4C01">
        <w:rPr>
          <w:i/>
          <w:iCs/>
        </w:rPr>
        <w:t xml:space="preserve">Oversigten er redigeret af advokat Camilla Søborg, </w:t>
      </w:r>
      <w:hyperlink r:id="rId18" w:history="1">
        <w:r w:rsidR="000A03EB" w:rsidRPr="00401311">
          <w:rPr>
            <w:rStyle w:val="Hyperlink"/>
            <w:i/>
            <w:iCs/>
          </w:rPr>
          <w:t>cas@equitylaw.dk</w:t>
        </w:r>
      </w:hyperlink>
      <w:r w:rsidRPr="00BE4C01">
        <w:rPr>
          <w:i/>
          <w:iCs/>
        </w:rPr>
        <w:t xml:space="preserve">, tlf. 53500914, som du kan rette henvendelse til, hvis du har kommentarer eller spørgsmål. </w:t>
      </w:r>
    </w:p>
    <w:p w14:paraId="514A19E8" w14:textId="77777777" w:rsidR="00BE4C01" w:rsidRPr="00BE4C01" w:rsidRDefault="00BE4C01" w:rsidP="00BE4C01">
      <w:pPr>
        <w:rPr>
          <w:i/>
          <w:iCs/>
        </w:rPr>
      </w:pPr>
    </w:p>
    <w:p w14:paraId="22D0A962" w14:textId="09AEDB04" w:rsidR="00BE4C01" w:rsidRPr="00BE4C01" w:rsidRDefault="006C57C3" w:rsidP="00BE4C01">
      <w:r>
        <w:rPr>
          <w:noProof/>
        </w:rPr>
        <w:drawing>
          <wp:inline distT="0" distB="0" distL="0" distR="0" wp14:anchorId="03371999" wp14:editId="5DB5042A">
            <wp:extent cx="1495425" cy="295275"/>
            <wp:effectExtent l="0" t="0" r="9525" b="9525"/>
            <wp:docPr id="994185766" name="Billede 1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85766" name="Billede 1" descr="Et billede, der indeholder Font/skrifttype, Grafik, logo, tekst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6" t="-2857" r="11765" b="14287"/>
                    <a:stretch/>
                  </pic:blipFill>
                  <pic:spPr bwMode="auto">
                    <a:xfrm>
                      <a:off x="0" y="0"/>
                      <a:ext cx="1495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ECEBF" w14:textId="64DC358D" w:rsidR="00BE4C01" w:rsidRPr="00BE4C01" w:rsidRDefault="00A356F8" w:rsidP="00BE4C01">
      <w:r>
        <w:t>Equity Law Advokatanpartsselskab</w:t>
      </w:r>
      <w:r w:rsidR="00BE4C01" w:rsidRPr="00BE4C01">
        <w:t>,</w:t>
      </w:r>
      <w:r w:rsidR="00BE4C01" w:rsidRPr="00BE4C01">
        <w:rPr>
          <w:b/>
          <w:bCs/>
        </w:rPr>
        <w:t xml:space="preserve"> </w:t>
      </w:r>
      <w:r w:rsidR="00BE4C01" w:rsidRPr="00BE4C01">
        <w:t xml:space="preserve">CVR-nr. </w:t>
      </w:r>
      <w:r w:rsidR="000D0984" w:rsidRPr="000D0984">
        <w:t>42512273</w:t>
      </w:r>
      <w:r w:rsidR="00BE4C01" w:rsidRPr="00BE4C01">
        <w:t xml:space="preserve">, </w:t>
      </w:r>
      <w:r w:rsidR="000D0984">
        <w:t>Strandvejen 60</w:t>
      </w:r>
      <w:r w:rsidR="00BE4C01" w:rsidRPr="00BE4C01">
        <w:t>, DK-2900 Hellerup</w:t>
      </w:r>
    </w:p>
    <w:p w14:paraId="6AACDA41" w14:textId="77777777" w:rsidR="00BE4C01" w:rsidRDefault="00BE4C01"/>
    <w:sectPr w:rsidR="00BE4C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9335C"/>
    <w:multiLevelType w:val="multilevel"/>
    <w:tmpl w:val="DCAC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6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1"/>
    <w:rsid w:val="000416DF"/>
    <w:rsid w:val="0006356A"/>
    <w:rsid w:val="000644DF"/>
    <w:rsid w:val="00065059"/>
    <w:rsid w:val="00082617"/>
    <w:rsid w:val="00084EA7"/>
    <w:rsid w:val="000A03EB"/>
    <w:rsid w:val="000C2984"/>
    <w:rsid w:val="000D0984"/>
    <w:rsid w:val="001163B2"/>
    <w:rsid w:val="001306A9"/>
    <w:rsid w:val="00130801"/>
    <w:rsid w:val="00136D9B"/>
    <w:rsid w:val="00163DAB"/>
    <w:rsid w:val="001676FC"/>
    <w:rsid w:val="00186905"/>
    <w:rsid w:val="001928E1"/>
    <w:rsid w:val="001D2801"/>
    <w:rsid w:val="001F0965"/>
    <w:rsid w:val="002007F3"/>
    <w:rsid w:val="00220B97"/>
    <w:rsid w:val="002441A8"/>
    <w:rsid w:val="0025206C"/>
    <w:rsid w:val="00265438"/>
    <w:rsid w:val="00294D2E"/>
    <w:rsid w:val="002B6B87"/>
    <w:rsid w:val="002D68FB"/>
    <w:rsid w:val="00334605"/>
    <w:rsid w:val="00344CB3"/>
    <w:rsid w:val="003813EA"/>
    <w:rsid w:val="00382C9C"/>
    <w:rsid w:val="003B7D51"/>
    <w:rsid w:val="00403B30"/>
    <w:rsid w:val="00426C1B"/>
    <w:rsid w:val="00427ED3"/>
    <w:rsid w:val="004319AE"/>
    <w:rsid w:val="00455123"/>
    <w:rsid w:val="0045749D"/>
    <w:rsid w:val="004715BD"/>
    <w:rsid w:val="004A5ADA"/>
    <w:rsid w:val="004D740B"/>
    <w:rsid w:val="004E2E3B"/>
    <w:rsid w:val="0050786C"/>
    <w:rsid w:val="005128C4"/>
    <w:rsid w:val="00533C93"/>
    <w:rsid w:val="00544D59"/>
    <w:rsid w:val="00564276"/>
    <w:rsid w:val="00576052"/>
    <w:rsid w:val="00593B9B"/>
    <w:rsid w:val="005945AC"/>
    <w:rsid w:val="00594E77"/>
    <w:rsid w:val="005B2B9A"/>
    <w:rsid w:val="005C2158"/>
    <w:rsid w:val="005E4B7E"/>
    <w:rsid w:val="005E4E30"/>
    <w:rsid w:val="006015EC"/>
    <w:rsid w:val="0060696E"/>
    <w:rsid w:val="006C0074"/>
    <w:rsid w:val="006C19F9"/>
    <w:rsid w:val="006C57C3"/>
    <w:rsid w:val="006D0521"/>
    <w:rsid w:val="007000DA"/>
    <w:rsid w:val="00716D28"/>
    <w:rsid w:val="007D1B63"/>
    <w:rsid w:val="007E42A4"/>
    <w:rsid w:val="008901B6"/>
    <w:rsid w:val="008B2310"/>
    <w:rsid w:val="008B2EDA"/>
    <w:rsid w:val="008E147E"/>
    <w:rsid w:val="009537D4"/>
    <w:rsid w:val="009664BE"/>
    <w:rsid w:val="009911B9"/>
    <w:rsid w:val="00997BAA"/>
    <w:rsid w:val="009C023C"/>
    <w:rsid w:val="009F433A"/>
    <w:rsid w:val="00A15C41"/>
    <w:rsid w:val="00A356F8"/>
    <w:rsid w:val="00A4684E"/>
    <w:rsid w:val="00A712E4"/>
    <w:rsid w:val="00A954D5"/>
    <w:rsid w:val="00A97075"/>
    <w:rsid w:val="00AA5ECD"/>
    <w:rsid w:val="00AF7B31"/>
    <w:rsid w:val="00B02E43"/>
    <w:rsid w:val="00B40C99"/>
    <w:rsid w:val="00BC1F31"/>
    <w:rsid w:val="00BE4C01"/>
    <w:rsid w:val="00C11B41"/>
    <w:rsid w:val="00C21A39"/>
    <w:rsid w:val="00C53794"/>
    <w:rsid w:val="00C72B03"/>
    <w:rsid w:val="00CA403D"/>
    <w:rsid w:val="00CB2775"/>
    <w:rsid w:val="00CC4679"/>
    <w:rsid w:val="00CC60F7"/>
    <w:rsid w:val="00D20778"/>
    <w:rsid w:val="00D77091"/>
    <w:rsid w:val="00DB648C"/>
    <w:rsid w:val="00DD48DD"/>
    <w:rsid w:val="00E15D75"/>
    <w:rsid w:val="00E37CAD"/>
    <w:rsid w:val="00E43E50"/>
    <w:rsid w:val="00E819D2"/>
    <w:rsid w:val="00EB540C"/>
    <w:rsid w:val="00ED7937"/>
    <w:rsid w:val="00F10BC1"/>
    <w:rsid w:val="00F5112C"/>
    <w:rsid w:val="00F66205"/>
    <w:rsid w:val="00FB4C4A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BD4"/>
  <w15:chartTrackingRefBased/>
  <w15:docId w15:val="{5B722B26-DC46-4DCD-8CA4-7CD3527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0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E4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4C0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4C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95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DA/TXT/?uri=OJ:L_202402811" TargetMode="External"/><Relationship Id="rId18" Type="http://schemas.openxmlformats.org/officeDocument/2006/relationships/hyperlink" Target="mailto:cas@equitylaw.d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DA/TXT/?uri=OJ:L_202402809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esma.europa.eu/press-news/esma-news/esma-proposes-move-t1-october-20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tsinformation.dk/eli/retsinfo/2024/1000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ba.europa.eu/publications-and-media/press-releases/eba-updates-its-list-common-equity-tier-1-instruments" TargetMode="External"/><Relationship Id="rId10" Type="http://schemas.openxmlformats.org/officeDocument/2006/relationships/hyperlink" Target="https://www.finanstilsynet.dk/nyheder-og-presse/nyheder-og-pressemeddelelser/2024/nov/kortere-periode-for-afvikling-af-vaerdipapirhandler_281124-" TargetMode="Externa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www.retsinformation.dk/eli/lta/2024/1211" TargetMode="External"/><Relationship Id="rId14" Type="http://schemas.openxmlformats.org/officeDocument/2006/relationships/hyperlink" Target="https://finance.ec.europa.eu/news/commission-provides-further-clarifications-eu-taxonomy-sustainable-economic-activities-2024-11-29_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aa7-4697-4679-89a8-f7ed825373f6" xsi:nil="true"/>
    <lcf76f155ced4ddcb4097134ff3c332f xmlns="e1ad0fee-deb7-4d11-8342-64349c8749b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67DF4E06F5744B57C6F8BE5F564CB" ma:contentTypeVersion="20" ma:contentTypeDescription="Opret et nyt dokument." ma:contentTypeScope="" ma:versionID="4c9fdd3f57380a66db669e25b35dd481">
  <xsd:schema xmlns:xsd="http://www.w3.org/2001/XMLSchema" xmlns:xs="http://www.w3.org/2001/XMLSchema" xmlns:p="http://schemas.microsoft.com/office/2006/metadata/properties" xmlns:ns2="e1ad0fee-deb7-4d11-8342-64349c8749bc" xmlns:ns3="547d2aa7-4697-4679-89a8-f7ed825373f6" targetNamespace="http://schemas.microsoft.com/office/2006/metadata/properties" ma:root="true" ma:fieldsID="0701e95dae96647187809806b243026f" ns2:_="" ns3:_="">
    <xsd:import namespace="e1ad0fee-deb7-4d11-8342-64349c8749bc"/>
    <xsd:import namespace="547d2aa7-4697-4679-89a8-f7ed825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0fee-deb7-4d11-8342-64349c874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d399327e-dec2-4cfd-b9e4-ed826a3a2e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aa7-4697-4679-89a8-f7ed825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47f4b9-575f-4bb9-9f4d-53a5a71db9dd}" ma:internalName="TaxCatchAll" ma:showField="CatchAllData" ma:web="547d2aa7-4697-4679-89a8-f7ed825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4F77D-FA0A-4994-B831-C5168F03E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4AD3D-F638-4681-B165-D4FC1736A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AF082-B58A-4F52-A56E-EC4AEF91AEFB}">
  <ds:schemaRefs>
    <ds:schemaRef ds:uri="http://schemas.microsoft.com/office/2006/metadata/properties"/>
    <ds:schemaRef ds:uri="http://schemas.microsoft.com/office/infopath/2007/PartnerControls"/>
    <ds:schemaRef ds:uri="547d2aa7-4697-4679-89a8-f7ed825373f6"/>
    <ds:schemaRef ds:uri="e1ad0fee-deb7-4d11-8342-64349c8749bc"/>
  </ds:schemaRefs>
</ds:datastoreItem>
</file>

<file path=customXml/itemProps4.xml><?xml version="1.0" encoding="utf-8"?>
<ds:datastoreItem xmlns:ds="http://schemas.openxmlformats.org/officeDocument/2006/customXml" ds:itemID="{B1DFC98C-0845-4A94-8D81-1ABEEB67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d0fee-deb7-4d11-8342-64349c8749bc"/>
    <ds:schemaRef ds:uri="547d2aa7-4697-4679-89a8-f7ed82537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935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Søborg</dc:creator>
  <cp:keywords/>
  <dc:description/>
  <cp:lastModifiedBy>Camilla Søborg</cp:lastModifiedBy>
  <cp:revision>81</cp:revision>
  <cp:lastPrinted>2024-12-02T19:18:00Z</cp:lastPrinted>
  <dcterms:created xsi:type="dcterms:W3CDTF">2024-12-02T09:22:00Z</dcterms:created>
  <dcterms:modified xsi:type="dcterms:W3CDTF">2024-12-02T19:41:00Z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0x0101003E167DF4E06F5744B57C6F8BE5F564CB</vt:lpwstr>
  </property>
  <property fmtid="{D5CDD505-2E9C-101B-9397-08002B2CF9AE}" pid="3" name="MediaServiceImageTags">
    <vt:lpwstr/>
  </property>
</Properties>
</file>