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6251B7F0" w:rsidR="00BE4C01" w:rsidRDefault="002C1816" w:rsidP="00BE4C01">
      <w:pPr>
        <w:jc w:val="both"/>
      </w:pPr>
      <w:r>
        <w:t>O</w:t>
      </w:r>
      <w:r w:rsidR="00BE4C01" w:rsidRPr="005A5267">
        <w:t xml:space="preserve">pdatering for </w:t>
      </w:r>
      <w:r w:rsidR="006375B1">
        <w:t>oktober</w:t>
      </w:r>
      <w:r w:rsidR="00BE4C01" w:rsidRPr="005A5267">
        <w:t xml:space="preserve"> </w:t>
      </w:r>
      <w:r w:rsidR="00BE4C01">
        <w:t xml:space="preserve">måned </w:t>
      </w:r>
      <w:r w:rsidR="00BE4C01" w:rsidRPr="005A5267">
        <w:t>202</w:t>
      </w:r>
      <w:r w:rsidR="005C2158">
        <w:t>4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49D2EC5D" w14:textId="77777777" w:rsidR="00BE4C01" w:rsidRDefault="00BE4C01"/>
          <w:p w14:paraId="30032301" w14:textId="1DFDA835" w:rsidR="0083161F" w:rsidRDefault="005701E2">
            <w:r>
              <w:t>Finanstilsynet orienterer om EU’s AML-pakke</w:t>
            </w:r>
            <w:r w:rsidR="00F71504">
              <w:t xml:space="preserve">: </w:t>
            </w:r>
            <w:hyperlink w:anchor="A" w:history="1">
              <w:r w:rsidR="00F71504" w:rsidRPr="00F71504">
                <w:rPr>
                  <w:rStyle w:val="Hyperlink"/>
                </w:rPr>
                <w:t>link</w:t>
              </w:r>
            </w:hyperlink>
          </w:p>
          <w:p w14:paraId="2DD7B516" w14:textId="77777777" w:rsidR="00F71504" w:rsidRDefault="00F71504"/>
          <w:p w14:paraId="639DFAF5" w14:textId="45A201C4" w:rsidR="00F71504" w:rsidRDefault="00F71504">
            <w:proofErr w:type="spellStart"/>
            <w:r>
              <w:t>ESA’erne</w:t>
            </w:r>
            <w:proofErr w:type="spellEnd"/>
            <w:r>
              <w:t xml:space="preserve"> offentliggør rapport </w:t>
            </w:r>
            <w:r w:rsidR="00F56D1F">
              <w:t xml:space="preserve">om PAI-oplysninger i henhold til SFDR: </w:t>
            </w:r>
            <w:hyperlink w:anchor="B" w:history="1">
              <w:r w:rsidR="00F56D1F" w:rsidRPr="00F56D1F">
                <w:rPr>
                  <w:rStyle w:val="Hyperlink"/>
                </w:rPr>
                <w:t>link</w:t>
              </w:r>
            </w:hyperlink>
          </w:p>
          <w:p w14:paraId="42A0031E" w14:textId="77777777" w:rsidR="00F56D1F" w:rsidRDefault="00F56D1F"/>
          <w:p w14:paraId="3350EC78" w14:textId="72F3E97B" w:rsidR="00F56D1F" w:rsidRDefault="00AB07A2">
            <w:r>
              <w:t xml:space="preserve">ESMA opdaterer vejledning om overgangsordninger for </w:t>
            </w:r>
            <w:r w:rsidR="00D101E2">
              <w:t xml:space="preserve">før- og efterhandelsgennemsigtighed under </w:t>
            </w:r>
            <w:proofErr w:type="spellStart"/>
            <w:r w:rsidR="00D101E2">
              <w:t>MiFIR</w:t>
            </w:r>
            <w:proofErr w:type="spellEnd"/>
            <w:r w:rsidR="00D101E2">
              <w:t xml:space="preserve">-revisionen: </w:t>
            </w:r>
            <w:hyperlink w:anchor="C" w:history="1">
              <w:r w:rsidR="00D101E2" w:rsidRPr="00D101E2">
                <w:rPr>
                  <w:rStyle w:val="Hyperlink"/>
                </w:rPr>
                <w:t>link</w:t>
              </w:r>
            </w:hyperlink>
          </w:p>
          <w:p w14:paraId="774E809C" w14:textId="77777777" w:rsidR="0083161F" w:rsidRDefault="0083161F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47736998" w14:textId="77777777" w:rsidR="00273FD8" w:rsidRDefault="00273FD8"/>
          <w:p w14:paraId="5F5F6636" w14:textId="77777777" w:rsidR="0083161F" w:rsidRDefault="0083161F" w:rsidP="0083161F">
            <w:r w:rsidRPr="00B33764">
              <w:t>(Intet nyt)</w:t>
            </w:r>
          </w:p>
          <w:p w14:paraId="1136A53C" w14:textId="77777777" w:rsidR="0083161F" w:rsidRDefault="0083161F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2F357D52" w14:textId="77777777" w:rsidR="00BE4C01" w:rsidRDefault="00BE4C01"/>
          <w:p w14:paraId="2AAABBDD" w14:textId="77777777" w:rsidR="0083161F" w:rsidRDefault="0083161F" w:rsidP="0083161F">
            <w:r w:rsidRPr="00B33764">
              <w:t>(Intet nyt)</w:t>
            </w:r>
          </w:p>
          <w:p w14:paraId="2BE89B52" w14:textId="77777777" w:rsidR="0083161F" w:rsidRDefault="0083161F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:rsidRPr="005835E5" w14:paraId="1DF6C69F" w14:textId="77777777" w:rsidTr="00BE4C01">
        <w:tc>
          <w:tcPr>
            <w:tcW w:w="9628" w:type="dxa"/>
          </w:tcPr>
          <w:p w14:paraId="2DDBDED3" w14:textId="77777777" w:rsidR="00BE4C01" w:rsidRDefault="00BE4C01"/>
          <w:p w14:paraId="7128EC70" w14:textId="77777777" w:rsidR="00CC476B" w:rsidRDefault="00CC476B" w:rsidP="00CC476B">
            <w:pPr>
              <w:rPr>
                <w:b/>
                <w:bCs/>
              </w:rPr>
            </w:pPr>
            <w:bookmarkStart w:id="0" w:name="A"/>
            <w:r w:rsidRPr="00CC476B">
              <w:rPr>
                <w:b/>
                <w:bCs/>
              </w:rPr>
              <w:t>AML-pakken træder i kraft – hvad betyder det?</w:t>
            </w:r>
          </w:p>
          <w:bookmarkEnd w:id="0"/>
          <w:p w14:paraId="7B1C590A" w14:textId="77777777" w:rsidR="00EC0966" w:rsidRPr="00CC476B" w:rsidRDefault="00EC0966" w:rsidP="00CC476B">
            <w:pPr>
              <w:rPr>
                <w:b/>
                <w:bCs/>
              </w:rPr>
            </w:pPr>
          </w:p>
          <w:p w14:paraId="4A03821E" w14:textId="714CACBD" w:rsidR="00CC476B" w:rsidRPr="00CC476B" w:rsidRDefault="00CC476B" w:rsidP="00CC476B">
            <w:r w:rsidRPr="00CC476B">
              <w:t xml:space="preserve">Finanstilsynet har opdateret oplysninger om ændringer </w:t>
            </w:r>
            <w:r w:rsidR="00EC0966">
              <w:t xml:space="preserve">i reguleringen af beskyttelse mod hvidvask og terrorfinansiering </w:t>
            </w:r>
            <w:r w:rsidRPr="00CC476B">
              <w:t>ved ikrafttræden i 2027 af EU’s AML-pakke.</w:t>
            </w:r>
          </w:p>
          <w:p w14:paraId="10EC2DFA" w14:textId="77777777" w:rsidR="00EC0966" w:rsidRDefault="00EC0966" w:rsidP="00CC476B"/>
          <w:p w14:paraId="03A39570" w14:textId="0990BE96" w:rsidR="00CC476B" w:rsidRPr="00CC476B" w:rsidRDefault="00CC476B" w:rsidP="00CC476B">
            <w:pPr>
              <w:rPr>
                <w:b/>
                <w:bCs/>
              </w:rPr>
            </w:pPr>
            <w:r w:rsidRPr="00CC476B">
              <w:t xml:space="preserve">(Offentliggjort den 1. oktober 2024, </w:t>
            </w:r>
            <w:hyperlink r:id="rId8" w:history="1">
              <w:r w:rsidRPr="00CC476B">
                <w:rPr>
                  <w:rStyle w:val="Hyperlink"/>
                </w:rPr>
                <w:t>link</w:t>
              </w:r>
            </w:hyperlink>
            <w:r w:rsidRPr="00CC476B">
              <w:t>)</w:t>
            </w:r>
          </w:p>
          <w:p w14:paraId="56C7CE03" w14:textId="77777777" w:rsidR="005835E5" w:rsidRPr="005835E5" w:rsidRDefault="005835E5">
            <w:pPr>
              <w:rPr>
                <w:lang w:val="en-US"/>
              </w:rPr>
            </w:pPr>
          </w:p>
          <w:p w14:paraId="010E559B" w14:textId="77777777" w:rsidR="00CC476B" w:rsidRPr="005835E5" w:rsidRDefault="00CC476B">
            <w:pPr>
              <w:rPr>
                <w:lang w:val="en-US"/>
              </w:rPr>
            </w:pPr>
          </w:p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04642EC6" w14:textId="77777777" w:rsidR="00BE4C01" w:rsidRDefault="00BE4C01"/>
          <w:p w14:paraId="3A3CB9B2" w14:textId="77777777" w:rsidR="0083161F" w:rsidRDefault="0083161F" w:rsidP="0083161F">
            <w:r w:rsidRPr="00B33764">
              <w:t>(Intet nyt)</w:t>
            </w:r>
          </w:p>
          <w:p w14:paraId="570C0B58" w14:textId="77777777" w:rsidR="0083161F" w:rsidRDefault="0083161F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:rsidRPr="000A2DDB" w14:paraId="46B54A56" w14:textId="77777777" w:rsidTr="00BE4C01">
        <w:tc>
          <w:tcPr>
            <w:tcW w:w="9628" w:type="dxa"/>
          </w:tcPr>
          <w:p w14:paraId="15316458" w14:textId="77777777" w:rsidR="005835E5" w:rsidRDefault="005835E5">
            <w:pPr>
              <w:rPr>
                <w:lang w:val="en-US"/>
              </w:rPr>
            </w:pPr>
          </w:p>
          <w:p w14:paraId="5EB37053" w14:textId="77777777" w:rsidR="00523F9F" w:rsidRPr="00523F9F" w:rsidRDefault="00523F9F" w:rsidP="00C6034E">
            <w:pPr>
              <w:rPr>
                <w:b/>
                <w:bCs/>
              </w:rPr>
            </w:pPr>
            <w:bookmarkStart w:id="1" w:name="B"/>
            <w:proofErr w:type="spellStart"/>
            <w:r w:rsidRPr="001340F2">
              <w:rPr>
                <w:b/>
                <w:bCs/>
              </w:rPr>
              <w:t>ESA'erne</w:t>
            </w:r>
            <w:proofErr w:type="spellEnd"/>
            <w:r w:rsidRPr="001340F2">
              <w:rPr>
                <w:b/>
                <w:bCs/>
              </w:rPr>
              <w:t xml:space="preserve"> offentliggør en fælles rapport for 2024 om offentliggørelse af de vigtigste negative indvirkninger i henhold til forordningen om oplysninger om bæredygtig finansiering</w:t>
            </w:r>
          </w:p>
          <w:bookmarkEnd w:id="1"/>
          <w:p w14:paraId="19C50772" w14:textId="77777777" w:rsidR="00523F9F" w:rsidRDefault="00523F9F" w:rsidP="00C6034E"/>
          <w:p w14:paraId="5449A29C" w14:textId="40116431" w:rsidR="00523F9F" w:rsidRPr="00523F9F" w:rsidRDefault="00523F9F" w:rsidP="00C6034E">
            <w:r w:rsidRPr="001340F2">
              <w:t xml:space="preserve">Rapporten vurderer oplysninger om de vigtigste negative indvirkninger (PAI) på både enheds- og produktniveau i henhold til SFDR. </w:t>
            </w:r>
          </w:p>
          <w:p w14:paraId="27F02B24" w14:textId="48C09D56" w:rsidR="0047338E" w:rsidRPr="00523F9F" w:rsidRDefault="00523F9F" w:rsidP="0047338E">
            <w:r w:rsidRPr="001340F2">
              <w:t xml:space="preserve">Resultaterne viser, at </w:t>
            </w:r>
            <w:r w:rsidR="00200F28">
              <w:t>institutterne</w:t>
            </w:r>
            <w:r w:rsidRPr="001340F2">
              <w:t xml:space="preserve"> har forbedret tilgængeligheden </w:t>
            </w:r>
            <w:r w:rsidR="0047338E">
              <w:t xml:space="preserve">og kvaliteten af </w:t>
            </w:r>
            <w:r w:rsidRPr="001340F2">
              <w:t xml:space="preserve">deres PAI-oplysninger. </w:t>
            </w:r>
          </w:p>
          <w:p w14:paraId="4696C20F" w14:textId="04C06056" w:rsidR="000A2DDB" w:rsidRPr="000A2DDB" w:rsidRDefault="006556EE" w:rsidP="001B6024">
            <w:r>
              <w:lastRenderedPageBreak/>
              <w:t xml:space="preserve">Rapporten indeholder bl.a. </w:t>
            </w:r>
            <w:r w:rsidR="000A2DDB" w:rsidRPr="001340F2">
              <w:t xml:space="preserve">en oversigt over god praksis i forbindelse med placering, klarhed og kompleksitet af oplysningerne på grundlag af en undersøgelse blandt </w:t>
            </w:r>
            <w:r w:rsidR="00356C90">
              <w:t xml:space="preserve">de </w:t>
            </w:r>
            <w:r w:rsidR="00830047">
              <w:t>kompetente myndigheder</w:t>
            </w:r>
            <w:r w:rsidR="000A2DDB" w:rsidRPr="001340F2">
              <w:t>.</w:t>
            </w:r>
          </w:p>
          <w:p w14:paraId="03A76D03" w14:textId="77777777" w:rsidR="001340F2" w:rsidRDefault="001340F2"/>
          <w:p w14:paraId="0094082E" w14:textId="758EA96F" w:rsidR="006556EE" w:rsidRDefault="006556EE">
            <w:r>
              <w:t xml:space="preserve">(Offentliggjort den </w:t>
            </w:r>
            <w:r w:rsidR="00E46AB8">
              <w:t xml:space="preserve">30. oktober 2024, </w:t>
            </w:r>
            <w:hyperlink r:id="rId9" w:history="1">
              <w:r w:rsidR="00E46AB8" w:rsidRPr="00E46AB8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79D392D9" w14:textId="77777777" w:rsidR="006556EE" w:rsidRPr="000A2DDB" w:rsidRDefault="006556EE"/>
          <w:p w14:paraId="5E1E2D1B" w14:textId="77777777" w:rsidR="001340F2" w:rsidRPr="000A2DDB" w:rsidRDefault="001340F2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4B87EEC1" w14:textId="77777777" w:rsidR="00BE4C01" w:rsidRDefault="00BE4C01"/>
          <w:p w14:paraId="37116EE1" w14:textId="77777777" w:rsidR="00D477F1" w:rsidRPr="00D477F1" w:rsidRDefault="00D477F1" w:rsidP="00D477F1">
            <w:pPr>
              <w:rPr>
                <w:b/>
                <w:bCs/>
              </w:rPr>
            </w:pPr>
            <w:bookmarkStart w:id="2" w:name="C"/>
            <w:r w:rsidRPr="00D477F1">
              <w:rPr>
                <w:b/>
                <w:bCs/>
              </w:rPr>
              <w:t xml:space="preserve">ESMA ajourfører vejledningen i forbindelse med </w:t>
            </w:r>
            <w:proofErr w:type="spellStart"/>
            <w:r w:rsidRPr="00D477F1">
              <w:rPr>
                <w:b/>
                <w:bCs/>
              </w:rPr>
              <w:t>MiFIR</w:t>
            </w:r>
            <w:proofErr w:type="spellEnd"/>
            <w:r w:rsidRPr="00D477F1">
              <w:rPr>
                <w:b/>
                <w:bCs/>
              </w:rPr>
              <w:t>-revisionen</w:t>
            </w:r>
          </w:p>
          <w:bookmarkEnd w:id="2"/>
          <w:p w14:paraId="39133EC3" w14:textId="77777777" w:rsidR="00D477F1" w:rsidRDefault="00D477F1" w:rsidP="00D477F1"/>
          <w:p w14:paraId="32D77BD1" w14:textId="298595BB" w:rsidR="00D477F1" w:rsidRPr="00D477F1" w:rsidRDefault="00D477F1" w:rsidP="00D477F1">
            <w:r w:rsidRPr="00D477F1">
              <w:t xml:space="preserve">ESMA har offentliggjort opdateringer af håndbogen om efterhandelsgennemsigtighed og udtalelsen om vurderingen af </w:t>
            </w:r>
            <w:proofErr w:type="spellStart"/>
            <w:r w:rsidRPr="00D477F1">
              <w:t>førhandelsundtagelser</w:t>
            </w:r>
            <w:proofErr w:type="spellEnd"/>
            <w:r w:rsidRPr="00D477F1">
              <w:t xml:space="preserve"> under hensyntagen til overgangsbestemmelserne </w:t>
            </w:r>
            <w:r w:rsidR="00B9634C">
              <w:t xml:space="preserve">i </w:t>
            </w:r>
            <w:proofErr w:type="spellStart"/>
            <w:r w:rsidRPr="00D477F1">
              <w:t>MiFIR</w:t>
            </w:r>
            <w:proofErr w:type="spellEnd"/>
            <w:r w:rsidR="00B9634C">
              <w:t>-revisionen</w:t>
            </w:r>
            <w:r w:rsidRPr="00D477F1">
              <w:t>.</w:t>
            </w:r>
          </w:p>
          <w:p w14:paraId="7C0EDEA2" w14:textId="77777777" w:rsidR="00D477F1" w:rsidRDefault="00D477F1" w:rsidP="00D477F1"/>
          <w:p w14:paraId="0FB5BEBF" w14:textId="325B8520" w:rsidR="00D477F1" w:rsidRPr="00D477F1" w:rsidRDefault="00D477F1" w:rsidP="00D477F1">
            <w:r w:rsidRPr="00D477F1">
              <w:t xml:space="preserve">(Offentliggjort den 16. oktober 2024, </w:t>
            </w:r>
            <w:hyperlink r:id="rId10" w:history="1">
              <w:r w:rsidRPr="00D477F1">
                <w:rPr>
                  <w:rStyle w:val="Hyperlink"/>
                </w:rPr>
                <w:t>lin</w:t>
              </w:r>
              <w:r w:rsidRPr="00D477F1">
                <w:rPr>
                  <w:rStyle w:val="Hyperlink"/>
                </w:rPr>
                <w:t>k</w:t>
              </w:r>
            </w:hyperlink>
            <w:r w:rsidRPr="00D477F1">
              <w:t>)</w:t>
            </w:r>
          </w:p>
          <w:p w14:paraId="679B8AD8" w14:textId="77777777" w:rsidR="00D477F1" w:rsidRDefault="00D477F1"/>
          <w:p w14:paraId="29E632A3" w14:textId="77777777" w:rsidR="00D477F1" w:rsidRDefault="00D477F1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54A2256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12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CEBF" w14:textId="64DC358D" w:rsidR="00BE4C01" w:rsidRPr="00BE4C01" w:rsidRDefault="00A356F8" w:rsidP="00BE4C01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9D8"/>
    <w:multiLevelType w:val="multilevel"/>
    <w:tmpl w:val="DCDA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AF0B51"/>
    <w:multiLevelType w:val="multilevel"/>
    <w:tmpl w:val="962A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636382">
    <w:abstractNumId w:val="1"/>
  </w:num>
  <w:num w:numId="2" w16cid:durableId="180556973">
    <w:abstractNumId w:val="0"/>
  </w:num>
  <w:num w:numId="3" w16cid:durableId="129856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73229"/>
    <w:rsid w:val="000A03EB"/>
    <w:rsid w:val="000A2DDB"/>
    <w:rsid w:val="000D0984"/>
    <w:rsid w:val="000D1619"/>
    <w:rsid w:val="001163B2"/>
    <w:rsid w:val="001340F2"/>
    <w:rsid w:val="00136D9B"/>
    <w:rsid w:val="001928E1"/>
    <w:rsid w:val="001D2801"/>
    <w:rsid w:val="00200F28"/>
    <w:rsid w:val="002610AE"/>
    <w:rsid w:val="00265438"/>
    <w:rsid w:val="00273FD8"/>
    <w:rsid w:val="002A41D7"/>
    <w:rsid w:val="002B6B87"/>
    <w:rsid w:val="002C1816"/>
    <w:rsid w:val="00344CB3"/>
    <w:rsid w:val="00356C90"/>
    <w:rsid w:val="003B7D51"/>
    <w:rsid w:val="00427ED3"/>
    <w:rsid w:val="0045749D"/>
    <w:rsid w:val="0047338E"/>
    <w:rsid w:val="004D740B"/>
    <w:rsid w:val="00523F9F"/>
    <w:rsid w:val="00533C93"/>
    <w:rsid w:val="005701E2"/>
    <w:rsid w:val="005835E5"/>
    <w:rsid w:val="005945AC"/>
    <w:rsid w:val="005C2158"/>
    <w:rsid w:val="006375B1"/>
    <w:rsid w:val="006556EE"/>
    <w:rsid w:val="006C0074"/>
    <w:rsid w:val="006C57C3"/>
    <w:rsid w:val="006D2AD1"/>
    <w:rsid w:val="00745ADF"/>
    <w:rsid w:val="00830047"/>
    <w:rsid w:val="0083161F"/>
    <w:rsid w:val="008901B6"/>
    <w:rsid w:val="0095323F"/>
    <w:rsid w:val="009911B9"/>
    <w:rsid w:val="00A356F8"/>
    <w:rsid w:val="00A51893"/>
    <w:rsid w:val="00A97075"/>
    <w:rsid w:val="00AB07A2"/>
    <w:rsid w:val="00B02E43"/>
    <w:rsid w:val="00B20DB9"/>
    <w:rsid w:val="00B722E4"/>
    <w:rsid w:val="00B87AD5"/>
    <w:rsid w:val="00B9634C"/>
    <w:rsid w:val="00BC1F31"/>
    <w:rsid w:val="00BE4C01"/>
    <w:rsid w:val="00C21A39"/>
    <w:rsid w:val="00C665EC"/>
    <w:rsid w:val="00C9730D"/>
    <w:rsid w:val="00CC476B"/>
    <w:rsid w:val="00D101E2"/>
    <w:rsid w:val="00D477F1"/>
    <w:rsid w:val="00D75934"/>
    <w:rsid w:val="00DA34ED"/>
    <w:rsid w:val="00DD48DD"/>
    <w:rsid w:val="00E46AB8"/>
    <w:rsid w:val="00E713CE"/>
    <w:rsid w:val="00EC0966"/>
    <w:rsid w:val="00F10BC1"/>
    <w:rsid w:val="00F56D1F"/>
    <w:rsid w:val="00F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C4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tilsynet.dk/nyheder-og-presse/nyheder-og-pressemeddelelser/2024/okt/aml-pakken-traeder-i-kraft-hvad-betyder-det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@equitylaw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sma.europa.eu/press-news/esma-news/esma-updates-guidance-under-mifir-re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ba.europa.eu/publications-and-media/press-releases/esas-publish-2024-joint-report-principal-adverse-impacts-disclosures-under-sustainable-fin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38</cp:revision>
  <dcterms:created xsi:type="dcterms:W3CDTF">2024-11-01T08:53:00Z</dcterms:created>
  <dcterms:modified xsi:type="dcterms:W3CDTF">2024-11-01T09:55:00Z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