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094082F8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E21480">
        <w:t>september</w:t>
      </w:r>
      <w:r w:rsidRPr="005A5267">
        <w:t xml:space="preserve"> </w:t>
      </w:r>
      <w:r>
        <w:t xml:space="preserve">måned </w:t>
      </w:r>
      <w:r w:rsidRPr="005A5267">
        <w:t>202</w:t>
      </w:r>
      <w:r w:rsidR="005C2158">
        <w:t>4</w:t>
      </w:r>
    </w:p>
    <w:p w14:paraId="4FC69AF0" w14:textId="77777777" w:rsidR="00DD48DD" w:rsidRDefault="00DD48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52140271" w14:textId="77777777" w:rsidR="00BE4C01" w:rsidRDefault="00BE4C01"/>
          <w:p w14:paraId="786A75E2" w14:textId="401A60A3" w:rsidR="00695477" w:rsidRDefault="005B6998">
            <w:r>
              <w:t>Opdateringer af to bekendtgørelser på hvidvaskområdet:</w:t>
            </w:r>
            <w:r w:rsidR="000D7493">
              <w:t xml:space="preserve"> </w:t>
            </w:r>
            <w:hyperlink w:anchor="a" w:history="1">
              <w:r w:rsidR="000D7493" w:rsidRPr="000D7493">
                <w:rPr>
                  <w:rStyle w:val="Hyperlink"/>
                </w:rPr>
                <w:t>lin</w:t>
              </w:r>
              <w:r w:rsidR="000D7493" w:rsidRPr="000D7493">
                <w:rPr>
                  <w:rStyle w:val="Hyperlink"/>
                </w:rPr>
                <w:t>k</w:t>
              </w:r>
            </w:hyperlink>
            <w:r w:rsidR="000D7493">
              <w:t xml:space="preserve"> og </w:t>
            </w:r>
            <w:hyperlink w:anchor="b" w:history="1">
              <w:r w:rsidR="000D7493" w:rsidRPr="000D7493">
                <w:rPr>
                  <w:rStyle w:val="Hyperlink"/>
                </w:rPr>
                <w:t>lin</w:t>
              </w:r>
              <w:r w:rsidR="000D7493" w:rsidRPr="000D7493">
                <w:rPr>
                  <w:rStyle w:val="Hyperlink"/>
                </w:rPr>
                <w:t>k</w:t>
              </w:r>
            </w:hyperlink>
          </w:p>
          <w:p w14:paraId="28A01018" w14:textId="77777777" w:rsidR="00491A51" w:rsidRDefault="00491A51"/>
          <w:p w14:paraId="18195CE5" w14:textId="61772E65" w:rsidR="00B959E2" w:rsidRDefault="00B959E2">
            <w:r>
              <w:t xml:space="preserve">Temarapport om </w:t>
            </w:r>
            <w:r w:rsidR="00273C7D">
              <w:t xml:space="preserve">kvalitetsforbedrende service fra Finanstilsynet: </w:t>
            </w:r>
            <w:hyperlink w:anchor="A" w:history="1">
              <w:r w:rsidR="006246AD" w:rsidRPr="006246AD">
                <w:rPr>
                  <w:rStyle w:val="Hyperlink"/>
                </w:rPr>
                <w:t>lin</w:t>
              </w:r>
              <w:r w:rsidR="006246AD" w:rsidRPr="006246AD">
                <w:rPr>
                  <w:rStyle w:val="Hyperlink"/>
                </w:rPr>
                <w:t>k</w:t>
              </w:r>
            </w:hyperlink>
          </w:p>
          <w:p w14:paraId="774E809C" w14:textId="77777777" w:rsidR="00B959E2" w:rsidRDefault="00B959E2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1F1A4941" w14:textId="77777777" w:rsidR="00BE4C01" w:rsidRDefault="00BE4C01"/>
          <w:p w14:paraId="1565556A" w14:textId="6B8A7435" w:rsidR="00D82118" w:rsidRDefault="00D82118">
            <w:r w:rsidRPr="00B33764">
              <w:t>(Intet nyt)</w:t>
            </w:r>
          </w:p>
          <w:p w14:paraId="1136A53C" w14:textId="77777777" w:rsidR="00D82118" w:rsidRDefault="00D82118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79A1B3C4" w14:textId="77777777" w:rsidR="00BE4C01" w:rsidRDefault="00BE4C01"/>
          <w:p w14:paraId="4EA40C4C" w14:textId="77777777" w:rsidR="00AD3E79" w:rsidRDefault="00AD3E79"/>
          <w:p w14:paraId="5A7135D0" w14:textId="77777777" w:rsidR="00BE5934" w:rsidRPr="00BE5934" w:rsidRDefault="00BE5934" w:rsidP="00BE5934">
            <w:pPr>
              <w:rPr>
                <w:b/>
                <w:bCs/>
              </w:rPr>
            </w:pPr>
            <w:bookmarkStart w:id="0" w:name="a"/>
            <w:r w:rsidRPr="00BE5934">
              <w:rPr>
                <w:b/>
                <w:bCs/>
              </w:rPr>
              <w:t>Bekendtgørelse nr. 1062 af 17. september 2024 om indberetning af oplysninger til brug for Finanstilsynets risikovurdering af virksomheder og personer omfattet af hvidvaskloven</w:t>
            </w:r>
          </w:p>
          <w:bookmarkEnd w:id="0"/>
          <w:p w14:paraId="0370DE27" w14:textId="77777777" w:rsidR="00BE5934" w:rsidRDefault="00BE5934" w:rsidP="00BE5934"/>
          <w:p w14:paraId="442A5C95" w14:textId="29F0516F" w:rsidR="00BE5934" w:rsidRDefault="00BE5934" w:rsidP="00BE5934">
            <w:r w:rsidRPr="00BE5934">
              <w:t>Bekendtgørelsen ændrer i referencerne til virksomhedstyper i hvidvaskloven omfattet af indberetningskravet. Bekendtgørelsen træder i kraft den 30. december 2024 og ophæver samtidig den tilsvarende bekendtgørelse nr. 552 af 2. maj 2022.</w:t>
            </w:r>
          </w:p>
          <w:p w14:paraId="34458FF4" w14:textId="77777777" w:rsidR="000A0DC8" w:rsidRDefault="000A0DC8" w:rsidP="00BE5934"/>
          <w:p w14:paraId="759A3673" w14:textId="77777777" w:rsidR="00491A51" w:rsidRDefault="00491A51" w:rsidP="00491A51">
            <w:r>
              <w:t>Bekendtgørelsen indeholder ingen materielle ændringer for fondsmæglerselskaber.</w:t>
            </w:r>
          </w:p>
          <w:p w14:paraId="07754F65" w14:textId="77777777" w:rsidR="00491A51" w:rsidRPr="00BE5934" w:rsidRDefault="00491A51" w:rsidP="00BE5934"/>
          <w:p w14:paraId="282E9446" w14:textId="77777777" w:rsidR="00BE5934" w:rsidRPr="00BE5934" w:rsidRDefault="00BE5934" w:rsidP="00BE5934">
            <w:r w:rsidRPr="00BE5934">
              <w:t xml:space="preserve">(Offentliggjort den 27. september 2024, </w:t>
            </w:r>
            <w:hyperlink r:id="rId9" w:history="1">
              <w:r w:rsidRPr="00BE5934">
                <w:rPr>
                  <w:rStyle w:val="Hyperlink"/>
                </w:rPr>
                <w:t>l</w:t>
              </w:r>
              <w:r w:rsidRPr="00BE5934">
                <w:rPr>
                  <w:rStyle w:val="Hyperlink"/>
                </w:rPr>
                <w:t>i</w:t>
              </w:r>
              <w:r w:rsidRPr="00BE5934">
                <w:rPr>
                  <w:rStyle w:val="Hyperlink"/>
                </w:rPr>
                <w:t>nk</w:t>
              </w:r>
            </w:hyperlink>
            <w:r w:rsidRPr="00BE5934">
              <w:t>)</w:t>
            </w:r>
          </w:p>
          <w:p w14:paraId="3FFC96BA" w14:textId="77777777" w:rsidR="00AD3E79" w:rsidRDefault="00AD3E79" w:rsidP="00BE5934"/>
          <w:p w14:paraId="691E6F49" w14:textId="77777777" w:rsidR="00AD3E79" w:rsidRPr="00BE5934" w:rsidRDefault="00AD3E79" w:rsidP="00BE5934"/>
          <w:p w14:paraId="453818E7" w14:textId="77777777" w:rsidR="00BE5934" w:rsidRPr="00BE5934" w:rsidRDefault="00BE5934" w:rsidP="00BE5934">
            <w:pPr>
              <w:rPr>
                <w:b/>
                <w:bCs/>
              </w:rPr>
            </w:pPr>
            <w:bookmarkStart w:id="1" w:name="b"/>
            <w:r w:rsidRPr="00BE5934">
              <w:rPr>
                <w:b/>
                <w:bCs/>
              </w:rPr>
              <w:t>Bekendtgørelse nr. 1064 af 17. september 2024 om betingelser for etablering af datterselskaber, filialer eller repræsentationskontorer af virksomheder og personer fra højrisikotredjelande i Danmark og for etablering af filialer og repræsentationskontorer i højrisikotredjelande</w:t>
            </w:r>
            <w:bookmarkEnd w:id="1"/>
          </w:p>
          <w:p w14:paraId="5B86D2EC" w14:textId="77777777" w:rsidR="00BE5934" w:rsidRDefault="00BE5934" w:rsidP="00BE5934"/>
          <w:p w14:paraId="14202E09" w14:textId="1C0734F1" w:rsidR="00BE5934" w:rsidRDefault="00BE5934" w:rsidP="00BE5934">
            <w:r w:rsidRPr="00BE5934">
              <w:t>Bekendtgørelsen ændrer i forhold til anvendelsesområdet i referencerne til virksomhedstyper i hvidvaskloven. Bekendtgørelsen træder i kraft den 30. december 2024 og ophæver samtidig den tilsvarende bekendtgørelse nr. 2365 af 9. december 2021.</w:t>
            </w:r>
          </w:p>
          <w:p w14:paraId="35AEF6F8" w14:textId="77777777" w:rsidR="00857D23" w:rsidRDefault="00857D23" w:rsidP="00BE5934"/>
          <w:p w14:paraId="6A7F3067" w14:textId="52B36EDA" w:rsidR="00857D23" w:rsidRDefault="00857D23" w:rsidP="00BE5934">
            <w:r>
              <w:t>Bekendtgørelsen indeholder ingen materielle ændringer for fondsmæglerselskaber.</w:t>
            </w:r>
          </w:p>
          <w:p w14:paraId="598192C8" w14:textId="77777777" w:rsidR="000A0DC8" w:rsidRPr="00BE5934" w:rsidRDefault="000A0DC8" w:rsidP="00BE5934"/>
          <w:p w14:paraId="3192DA20" w14:textId="77777777" w:rsidR="00BE5934" w:rsidRPr="00BE5934" w:rsidRDefault="00BE5934" w:rsidP="00BE5934">
            <w:r w:rsidRPr="00BE5934">
              <w:t xml:space="preserve">(Offentliggjort den 28. september 2024, </w:t>
            </w:r>
            <w:hyperlink r:id="rId10" w:history="1">
              <w:r w:rsidRPr="00BE5934">
                <w:rPr>
                  <w:rStyle w:val="Hyperlink"/>
                </w:rPr>
                <w:t>link</w:t>
              </w:r>
            </w:hyperlink>
            <w:r w:rsidRPr="00BE5934">
              <w:t>)</w:t>
            </w:r>
          </w:p>
          <w:p w14:paraId="61E7FD11" w14:textId="77777777" w:rsidR="00BE5934" w:rsidRDefault="00BE5934"/>
          <w:p w14:paraId="14793A8F" w14:textId="77777777" w:rsidR="00BE5934" w:rsidRDefault="00BE5934"/>
          <w:p w14:paraId="77B1314C" w14:textId="77777777" w:rsidR="00955983" w:rsidRDefault="00955983" w:rsidP="00955983">
            <w:pPr>
              <w:rPr>
                <w:b/>
                <w:bCs/>
              </w:rPr>
            </w:pPr>
            <w:r w:rsidRPr="00955983">
              <w:rPr>
                <w:b/>
                <w:bCs/>
              </w:rPr>
              <w:t>Pengeinstitutterne skal styrke deres dokumentation og oplysning til kunderne om kvalitetsforbedrende service</w:t>
            </w:r>
          </w:p>
          <w:p w14:paraId="0554F5AF" w14:textId="77777777" w:rsidR="000020F4" w:rsidRPr="00955983" w:rsidRDefault="000020F4" w:rsidP="00955983">
            <w:pPr>
              <w:rPr>
                <w:b/>
                <w:bCs/>
              </w:rPr>
            </w:pPr>
          </w:p>
          <w:p w14:paraId="5390C0F8" w14:textId="02C056DB" w:rsidR="000020F4" w:rsidRDefault="00955983" w:rsidP="00955983">
            <w:r>
              <w:t xml:space="preserve">Finanstilsynet har offentliggjort en rapport om sin temaundersøgelse om pengeinstitutters dokumentation af, at de leverer kvalitetsforbedrende service til kunder, der betaler formidlingsprovision. </w:t>
            </w:r>
          </w:p>
          <w:p w14:paraId="0D1C55DD" w14:textId="2B5C2163" w:rsidR="006C5BF5" w:rsidRDefault="00955983" w:rsidP="00955983">
            <w:r>
              <w:lastRenderedPageBreak/>
              <w:t>Finanstilsynet finder, at pengeinstitutterne generelt skal blive bedre til at dokumentere, hvad investorerne får for formidlingsprovisionen.</w:t>
            </w:r>
            <w:r w:rsidR="00073356">
              <w:t xml:space="preserve"> </w:t>
            </w:r>
          </w:p>
          <w:p w14:paraId="3BD0B013" w14:textId="77777777" w:rsidR="009665A0" w:rsidRDefault="009665A0" w:rsidP="00955983"/>
          <w:p w14:paraId="08FD09E5" w14:textId="03604D93" w:rsidR="008945AD" w:rsidRDefault="008945AD" w:rsidP="00955983">
            <w:r>
              <w:t xml:space="preserve">Temarapporten </w:t>
            </w:r>
            <w:r w:rsidR="004B030F">
              <w:t>berører krav til r</w:t>
            </w:r>
            <w:r w:rsidR="004B030F" w:rsidRPr="004B030F">
              <w:t xml:space="preserve">egistrering af kvalitetsforbedrende </w:t>
            </w:r>
            <w:r w:rsidR="006B2E6D">
              <w:t>services</w:t>
            </w:r>
            <w:r w:rsidR="004B030F">
              <w:t xml:space="preserve">, </w:t>
            </w:r>
            <w:r w:rsidR="0014382C">
              <w:t>p</w:t>
            </w:r>
            <w:r w:rsidR="004B030F" w:rsidRPr="004B030F">
              <w:t xml:space="preserve">roportionalitet og værdiansættelse af </w:t>
            </w:r>
            <w:r w:rsidR="006B2E6D">
              <w:t>services</w:t>
            </w:r>
            <w:r w:rsidR="0014382C">
              <w:t>,</w:t>
            </w:r>
            <w:r w:rsidR="006B2E6D">
              <w:t xml:space="preserve"> relevansen af services</w:t>
            </w:r>
            <w:r w:rsidR="00B959E2">
              <w:t>, samt ledelsens involvering.</w:t>
            </w:r>
            <w:r w:rsidR="0014382C">
              <w:t xml:space="preserve"> </w:t>
            </w:r>
          </w:p>
          <w:p w14:paraId="1A5E63DE" w14:textId="77777777" w:rsidR="009665A0" w:rsidRDefault="009665A0" w:rsidP="00955983"/>
          <w:p w14:paraId="0D125873" w14:textId="0486824C" w:rsidR="009665A0" w:rsidRDefault="009665A0" w:rsidP="00955983">
            <w:r>
              <w:t xml:space="preserve">Finanstilsynets </w:t>
            </w:r>
            <w:r w:rsidR="00DC0D0A">
              <w:t>tema</w:t>
            </w:r>
            <w:r w:rsidR="00512DFD">
              <w:t>rapport</w:t>
            </w:r>
            <w:r>
              <w:t xml:space="preserve"> har </w:t>
            </w:r>
            <w:r w:rsidR="00512DFD">
              <w:t xml:space="preserve">også </w:t>
            </w:r>
            <w:r>
              <w:t>relevans for</w:t>
            </w:r>
            <w:r w:rsidR="00755A67">
              <w:t xml:space="preserve"> andre </w:t>
            </w:r>
            <w:r w:rsidR="00512DFD">
              <w:t xml:space="preserve">typer af </w:t>
            </w:r>
            <w:r w:rsidR="00755A67">
              <w:t>værdipapirhandlere, herunder</w:t>
            </w:r>
            <w:r>
              <w:t xml:space="preserve"> fondsmæglerselskaber.</w:t>
            </w:r>
          </w:p>
          <w:p w14:paraId="70B19484" w14:textId="77777777" w:rsidR="000020F4" w:rsidRDefault="000020F4" w:rsidP="00955983"/>
          <w:p w14:paraId="1B25BFBA" w14:textId="327F18F6" w:rsidR="00955983" w:rsidRDefault="00955983" w:rsidP="00955983">
            <w:r>
              <w:t xml:space="preserve">(Offentliggjort den 3. september 2024, </w:t>
            </w:r>
            <w:hyperlink r:id="rId11" w:history="1">
              <w:r w:rsidR="001762C9" w:rsidRPr="00591592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1206C2A7" w14:textId="77777777" w:rsidR="001B3AD1" w:rsidRDefault="001B3AD1"/>
          <w:p w14:paraId="2BE89B52" w14:textId="77777777" w:rsidR="00AD3E79" w:rsidRDefault="00AD3E79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3BC7C28B" w14:textId="77777777" w:rsidR="00BE4C01" w:rsidRDefault="00BE4C01"/>
          <w:p w14:paraId="1EF054C5" w14:textId="04F0C597" w:rsidR="00D82118" w:rsidRDefault="00D82118">
            <w:r w:rsidRPr="00B33764">
              <w:t>(Intet nyt)</w:t>
            </w:r>
          </w:p>
          <w:p w14:paraId="010E559B" w14:textId="77777777" w:rsidR="00D82118" w:rsidRDefault="00D82118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1024454C" w14:textId="77777777" w:rsidR="00BE4C01" w:rsidRDefault="00BE4C01"/>
          <w:p w14:paraId="7737E80C" w14:textId="36CDFD1C" w:rsidR="00D82118" w:rsidRDefault="00D82118">
            <w:r w:rsidRPr="00B33764">
              <w:t>(Intet nyt)</w:t>
            </w:r>
          </w:p>
          <w:p w14:paraId="570C0B58" w14:textId="77777777" w:rsidR="00D82118" w:rsidRDefault="00D82118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29999630" w14:textId="77777777" w:rsidR="00BE4C01" w:rsidRDefault="00BE4C01"/>
          <w:p w14:paraId="626779B0" w14:textId="36B43BF7" w:rsidR="00D82118" w:rsidRDefault="00D82118">
            <w:r w:rsidRPr="00B33764">
              <w:t>(Intet nyt)</w:t>
            </w:r>
          </w:p>
          <w:p w14:paraId="5E1E2D1B" w14:textId="77777777" w:rsidR="00D82118" w:rsidRDefault="00D82118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78E3F3DD" w14:textId="77777777" w:rsidR="00BE4C01" w:rsidRDefault="00BE4C01"/>
          <w:p w14:paraId="52B2E0D1" w14:textId="33678A31" w:rsidR="00D82118" w:rsidRDefault="00D82118">
            <w:r w:rsidRPr="00B33764">
              <w:t>(Intet nyt)</w:t>
            </w:r>
          </w:p>
          <w:p w14:paraId="29E632A3" w14:textId="77777777" w:rsidR="00D82118" w:rsidRDefault="00D82118"/>
        </w:tc>
      </w:tr>
    </w:tbl>
    <w:p w14:paraId="329D25E6" w14:textId="77777777" w:rsidR="00BE4C01" w:rsidRDefault="00BE4C01"/>
    <w:p w14:paraId="6BBF4DE2" w14:textId="77777777" w:rsidR="00BE4C01" w:rsidRPr="00BE4C01" w:rsidRDefault="00BE4C01" w:rsidP="00BE4C01"/>
    <w:p w14:paraId="251BD954" w14:textId="54A22563" w:rsidR="00BE4C01" w:rsidRPr="00AD3E79" w:rsidRDefault="00BE4C01" w:rsidP="00BE4C01">
      <w:pPr>
        <w:rPr>
          <w:i/>
          <w:iCs/>
          <w:sz w:val="20"/>
          <w:szCs w:val="20"/>
        </w:rPr>
      </w:pPr>
      <w:r w:rsidRPr="00AD3E79">
        <w:rPr>
          <w:i/>
          <w:iCs/>
          <w:sz w:val="20"/>
          <w:szCs w:val="20"/>
        </w:rPr>
        <w:t xml:space="preserve">Denne oversigt over ny finansiel regulering er udvalgt af </w:t>
      </w:r>
      <w:r w:rsidR="001928E1" w:rsidRPr="00AD3E79">
        <w:rPr>
          <w:i/>
          <w:iCs/>
          <w:sz w:val="20"/>
          <w:szCs w:val="20"/>
        </w:rPr>
        <w:t>Equity Law Advokatanpartsselskab</w:t>
      </w:r>
      <w:r w:rsidRPr="00AD3E79">
        <w:rPr>
          <w:i/>
          <w:iCs/>
          <w:sz w:val="20"/>
          <w:szCs w:val="20"/>
        </w:rPr>
        <w:t xml:space="preserve"> ud fra regulering, der retter sig direkte til fondsmæglerselskaber og deres holdingvirksomheder. Oversigten er en informationstjeneste og udgør ikke juridisk rådgivning, og </w:t>
      </w:r>
      <w:r w:rsidR="000A03EB" w:rsidRPr="00AD3E79">
        <w:rPr>
          <w:i/>
          <w:iCs/>
          <w:sz w:val="20"/>
          <w:szCs w:val="20"/>
        </w:rPr>
        <w:t>Equity Law Advokatanpartsselskab</w:t>
      </w:r>
      <w:r w:rsidRPr="00AD3E79">
        <w:rPr>
          <w:i/>
          <w:iCs/>
          <w:sz w:val="20"/>
          <w:szCs w:val="20"/>
        </w:rPr>
        <w:t xml:space="preserve"> påtager sig ikke ansvar for fejl eller mangler. </w:t>
      </w:r>
      <w:r w:rsidRPr="00AD3E7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228586F2" w:rsidR="00BE4C01" w:rsidRPr="00AD3E79" w:rsidRDefault="00BE4C01" w:rsidP="00BE4C01">
      <w:pPr>
        <w:rPr>
          <w:i/>
          <w:iCs/>
          <w:sz w:val="20"/>
          <w:szCs w:val="20"/>
        </w:rPr>
      </w:pPr>
      <w:r w:rsidRPr="00AD3E79">
        <w:rPr>
          <w:i/>
          <w:iCs/>
          <w:sz w:val="20"/>
          <w:szCs w:val="20"/>
        </w:rPr>
        <w:t xml:space="preserve">Oversigten er redigeret af advokat Camilla Søborg, </w:t>
      </w:r>
      <w:hyperlink r:id="rId13" w:history="1">
        <w:r w:rsidR="000A03EB" w:rsidRPr="00AD3E79">
          <w:rPr>
            <w:rStyle w:val="Hyperlink"/>
            <w:i/>
            <w:iCs/>
            <w:sz w:val="20"/>
            <w:szCs w:val="20"/>
          </w:rPr>
          <w:t>cas@equitylaw.dk</w:t>
        </w:r>
      </w:hyperlink>
      <w:r w:rsidRPr="00AD3E79">
        <w:rPr>
          <w:i/>
          <w:iCs/>
          <w:sz w:val="20"/>
          <w:szCs w:val="20"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09AEDB04" w:rsidR="00BE4C01" w:rsidRPr="00BE4C01" w:rsidRDefault="006C57C3" w:rsidP="00BE4C01">
      <w:r>
        <w:rPr>
          <w:noProof/>
        </w:rPr>
        <w:drawing>
          <wp:inline distT="0" distB="0" distL="0" distR="0" wp14:anchorId="03371999" wp14:editId="5DB5042A">
            <wp:extent cx="1495425" cy="295275"/>
            <wp:effectExtent l="0" t="0" r="9525" b="9525"/>
            <wp:docPr id="994185766" name="Billede 1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85766" name="Billede 1" descr="Et billede, der indeholder Font/skrifttype, Grafik, logo, teks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-2857" r="11765" b="1428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ECEBF" w14:textId="64DC358D" w:rsidR="00BE4C01" w:rsidRPr="00AD3E79" w:rsidRDefault="00A356F8" w:rsidP="00BE4C01">
      <w:pPr>
        <w:rPr>
          <w:sz w:val="20"/>
          <w:szCs w:val="20"/>
        </w:rPr>
      </w:pPr>
      <w:r w:rsidRPr="00AD3E79">
        <w:rPr>
          <w:sz w:val="20"/>
          <w:szCs w:val="20"/>
        </w:rPr>
        <w:t>Equity Law Advokatanpartsselskab</w:t>
      </w:r>
      <w:r w:rsidR="00BE4C01" w:rsidRPr="00AD3E79">
        <w:rPr>
          <w:sz w:val="20"/>
          <w:szCs w:val="20"/>
        </w:rPr>
        <w:t>,</w:t>
      </w:r>
      <w:r w:rsidR="00BE4C01" w:rsidRPr="00AD3E79">
        <w:rPr>
          <w:b/>
          <w:bCs/>
          <w:sz w:val="20"/>
          <w:szCs w:val="20"/>
        </w:rPr>
        <w:t xml:space="preserve"> </w:t>
      </w:r>
      <w:r w:rsidR="00BE4C01" w:rsidRPr="00AD3E79">
        <w:rPr>
          <w:sz w:val="20"/>
          <w:szCs w:val="20"/>
        </w:rPr>
        <w:t xml:space="preserve">CVR-nr. </w:t>
      </w:r>
      <w:r w:rsidR="000D0984" w:rsidRPr="00AD3E79">
        <w:rPr>
          <w:sz w:val="20"/>
          <w:szCs w:val="20"/>
        </w:rPr>
        <w:t>42512273</w:t>
      </w:r>
      <w:r w:rsidR="00BE4C01" w:rsidRPr="00AD3E79">
        <w:rPr>
          <w:sz w:val="20"/>
          <w:szCs w:val="20"/>
        </w:rPr>
        <w:t xml:space="preserve">, </w:t>
      </w:r>
      <w:r w:rsidR="000D0984" w:rsidRPr="00AD3E79">
        <w:rPr>
          <w:sz w:val="20"/>
          <w:szCs w:val="20"/>
        </w:rPr>
        <w:t>Strandvejen 60</w:t>
      </w:r>
      <w:r w:rsidR="00BE4C01" w:rsidRPr="00AD3E79">
        <w:rPr>
          <w:sz w:val="20"/>
          <w:szCs w:val="20"/>
        </w:rPr>
        <w:t>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020F4"/>
    <w:rsid w:val="00073356"/>
    <w:rsid w:val="000A03EB"/>
    <w:rsid w:val="000A0DC8"/>
    <w:rsid w:val="000D0984"/>
    <w:rsid w:val="000D7493"/>
    <w:rsid w:val="00107881"/>
    <w:rsid w:val="001163B2"/>
    <w:rsid w:val="00136D9B"/>
    <w:rsid w:val="0014382C"/>
    <w:rsid w:val="001762C9"/>
    <w:rsid w:val="001928E1"/>
    <w:rsid w:val="001B3AD1"/>
    <w:rsid w:val="001D2801"/>
    <w:rsid w:val="00265438"/>
    <w:rsid w:val="00273C7D"/>
    <w:rsid w:val="002B6B87"/>
    <w:rsid w:val="00344CB3"/>
    <w:rsid w:val="003B7D51"/>
    <w:rsid w:val="00427ED3"/>
    <w:rsid w:val="0045749D"/>
    <w:rsid w:val="00491A51"/>
    <w:rsid w:val="004B030F"/>
    <w:rsid w:val="004D740B"/>
    <w:rsid w:val="00512DFD"/>
    <w:rsid w:val="00533C93"/>
    <w:rsid w:val="005945AC"/>
    <w:rsid w:val="005B6998"/>
    <w:rsid w:val="005C2158"/>
    <w:rsid w:val="006246AD"/>
    <w:rsid w:val="00695477"/>
    <w:rsid w:val="006B2E6D"/>
    <w:rsid w:val="006C0074"/>
    <w:rsid w:val="006C57C3"/>
    <w:rsid w:val="006C5BF5"/>
    <w:rsid w:val="006E0F52"/>
    <w:rsid w:val="00755A67"/>
    <w:rsid w:val="00857D23"/>
    <w:rsid w:val="008901B6"/>
    <w:rsid w:val="008945AD"/>
    <w:rsid w:val="00955983"/>
    <w:rsid w:val="009665A0"/>
    <w:rsid w:val="009911B9"/>
    <w:rsid w:val="00A356F8"/>
    <w:rsid w:val="00A97075"/>
    <w:rsid w:val="00AD3E79"/>
    <w:rsid w:val="00B02E43"/>
    <w:rsid w:val="00B959E2"/>
    <w:rsid w:val="00BC1F31"/>
    <w:rsid w:val="00BE4C01"/>
    <w:rsid w:val="00BE5934"/>
    <w:rsid w:val="00C21A39"/>
    <w:rsid w:val="00C3198F"/>
    <w:rsid w:val="00CB067D"/>
    <w:rsid w:val="00D82118"/>
    <w:rsid w:val="00DC0D0A"/>
    <w:rsid w:val="00DD48DD"/>
    <w:rsid w:val="00E21480"/>
    <w:rsid w:val="00F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76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s@equitylaw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anstilsynet.dk/nyheder-og-presse/nyheder-og-pressemeddelelser/2024/sep/pengeinstitutterne-skal-styrke-deres-dokumentation-og-oplysning-til-kunderne-om-kvalitetsforbedrende-service-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4/106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tsinformation.dk/eli/lta/2024/1062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F8BFF-61BE-4C05-8A83-9A57BAC88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customXml/itemProps3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31</cp:revision>
  <dcterms:created xsi:type="dcterms:W3CDTF">2024-09-27T10:14:00Z</dcterms:created>
  <dcterms:modified xsi:type="dcterms:W3CDTF">2024-10-01T16:34:00Z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