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091FB935" w:rsidR="00BE4C01" w:rsidRDefault="00BE4C01" w:rsidP="00BE4C01">
      <w:pPr>
        <w:jc w:val="both"/>
      </w:pPr>
      <w:r>
        <w:t>O</w:t>
      </w:r>
      <w:r w:rsidRPr="005A5267">
        <w:t xml:space="preserve">pdatering for </w:t>
      </w:r>
      <w:r w:rsidR="00685B2F">
        <w:t>juli</w:t>
      </w:r>
      <w:r w:rsidRPr="005A5267">
        <w:t xml:space="preserve"> </w:t>
      </w:r>
      <w:r>
        <w:t xml:space="preserve">måned </w:t>
      </w:r>
      <w:r w:rsidRPr="005A5267">
        <w:t>202</w:t>
      </w:r>
      <w:r w:rsidR="005C2158">
        <w:t>4</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422B69A6" w14:textId="77777777" w:rsidR="00BE4C01" w:rsidRDefault="00BE4C01"/>
          <w:p w14:paraId="5065987A" w14:textId="4DBD4435" w:rsidR="00800F05" w:rsidRDefault="006F693D">
            <w:r>
              <w:t xml:space="preserve">Nye retningslinjer om opgørelse af omkostninger og tab under DORA: </w:t>
            </w:r>
            <w:hyperlink w:anchor="A" w:history="1">
              <w:r w:rsidR="001500A6" w:rsidRPr="001500A6">
                <w:rPr>
                  <w:rStyle w:val="Hyperlink"/>
                </w:rPr>
                <w:t>link</w:t>
              </w:r>
            </w:hyperlink>
          </w:p>
          <w:p w14:paraId="774E809C" w14:textId="77777777" w:rsidR="00800F05" w:rsidRDefault="00800F05"/>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3E804F35" w14:textId="77777777" w:rsidR="00C47660" w:rsidRDefault="00C47660"/>
          <w:p w14:paraId="2D688527" w14:textId="6044D5B2" w:rsidR="00BE4C01" w:rsidRDefault="00C47660">
            <w:r>
              <w:t xml:space="preserve">(Intet nyt) </w:t>
            </w:r>
          </w:p>
          <w:p w14:paraId="1136A53C" w14:textId="647A72B1" w:rsidR="00C47660" w:rsidRDefault="00C47660"/>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6FC91565" w14:textId="77777777" w:rsidR="00C47660" w:rsidRPr="00C47660" w:rsidRDefault="00C47660" w:rsidP="00C47660"/>
          <w:p w14:paraId="1046C5B2" w14:textId="77777777" w:rsidR="00C47660" w:rsidRPr="00C47660" w:rsidRDefault="00C47660" w:rsidP="00C47660">
            <w:r w:rsidRPr="00C47660">
              <w:t xml:space="preserve">(Intet nyt) </w:t>
            </w:r>
          </w:p>
          <w:p w14:paraId="2BE89B52" w14:textId="77777777" w:rsidR="00BE4C01" w:rsidRDefault="00BE4C01"/>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6DA1D8E0" w14:textId="77777777" w:rsidR="00C47660" w:rsidRPr="00C47660" w:rsidRDefault="00C47660" w:rsidP="00C47660"/>
          <w:p w14:paraId="750A0108" w14:textId="77777777" w:rsidR="00C47660" w:rsidRPr="00C47660" w:rsidRDefault="00C47660" w:rsidP="00C47660">
            <w:r w:rsidRPr="00C47660">
              <w:t xml:space="preserve">(Intet nyt) </w:t>
            </w:r>
          </w:p>
          <w:p w14:paraId="010E559B" w14:textId="77777777" w:rsidR="00BE4C01" w:rsidRDefault="00BE4C01"/>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0AC71A54" w14:textId="77777777" w:rsidR="00C47660" w:rsidRPr="00C47660" w:rsidRDefault="00C47660" w:rsidP="00C47660"/>
          <w:p w14:paraId="1349C297" w14:textId="77777777" w:rsidR="00C47660" w:rsidRPr="00C47660" w:rsidRDefault="00C47660" w:rsidP="00C47660">
            <w:r w:rsidRPr="00C47660">
              <w:t xml:space="preserve">(Intet nyt) </w:t>
            </w:r>
          </w:p>
          <w:p w14:paraId="570C0B58" w14:textId="77777777" w:rsidR="00BE4C01" w:rsidRDefault="00BE4C01"/>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25BF2E8E" w14:textId="77777777" w:rsidR="006F25EE" w:rsidRPr="006F25EE" w:rsidRDefault="006F25EE" w:rsidP="006F25EE"/>
          <w:p w14:paraId="3269BB07" w14:textId="77777777" w:rsidR="006F25EE" w:rsidRPr="006F25EE" w:rsidRDefault="006F25EE" w:rsidP="006F25EE">
            <w:r w:rsidRPr="006F25EE">
              <w:t xml:space="preserve">(Intet nyt) </w:t>
            </w:r>
          </w:p>
          <w:p w14:paraId="5E1E2D1B" w14:textId="77777777" w:rsidR="00BE4C01" w:rsidRDefault="00BE4C01"/>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4C2FEBF7" w14:textId="77777777" w:rsidR="0003284A" w:rsidRDefault="0003284A" w:rsidP="0003284A">
            <w:pPr>
              <w:rPr>
                <w:b/>
                <w:bCs/>
              </w:rPr>
            </w:pPr>
          </w:p>
          <w:p w14:paraId="08098BCC" w14:textId="2C860E2F" w:rsidR="0003284A" w:rsidRPr="0003284A" w:rsidRDefault="0003284A" w:rsidP="0003284A">
            <w:pPr>
              <w:rPr>
                <w:b/>
                <w:bCs/>
              </w:rPr>
            </w:pPr>
            <w:bookmarkStart w:id="0" w:name="A"/>
            <w:r w:rsidRPr="0003284A">
              <w:rPr>
                <w:b/>
                <w:bCs/>
              </w:rPr>
              <w:t xml:space="preserve">ESA'erne har offentliggjort </w:t>
            </w:r>
            <w:r w:rsidR="00AB4415">
              <w:rPr>
                <w:b/>
                <w:bCs/>
              </w:rPr>
              <w:t xml:space="preserve">nye </w:t>
            </w:r>
            <w:r w:rsidRPr="0003284A">
              <w:rPr>
                <w:b/>
                <w:bCs/>
              </w:rPr>
              <w:t>produkter under DORA</w:t>
            </w:r>
          </w:p>
          <w:bookmarkEnd w:id="0"/>
          <w:p w14:paraId="481E4434" w14:textId="77777777" w:rsidR="0003284A" w:rsidRDefault="0003284A" w:rsidP="0003284A"/>
          <w:p w14:paraId="75592A1F" w14:textId="3C807E6D" w:rsidR="0003284A" w:rsidRDefault="0003284A" w:rsidP="0003284A">
            <w:r w:rsidRPr="0003284A">
              <w:t>Denne batch består af</w:t>
            </w:r>
            <w:r w:rsidR="00B125BE">
              <w:t xml:space="preserve"> to</w:t>
            </w:r>
            <w:r w:rsidR="00AC3B4A">
              <w:t xml:space="preserve"> endelige</w:t>
            </w:r>
            <w:r w:rsidR="00B125BE">
              <w:t xml:space="preserve"> retningslinjer samt</w:t>
            </w:r>
            <w:r w:rsidRPr="0003284A">
              <w:t xml:space="preserve"> </w:t>
            </w:r>
            <w:r w:rsidR="00F00822">
              <w:t xml:space="preserve">fem </w:t>
            </w:r>
            <w:r w:rsidR="00105543">
              <w:t xml:space="preserve">endelige </w:t>
            </w:r>
            <w:r w:rsidR="00B125BE">
              <w:t>udkast</w:t>
            </w:r>
            <w:r w:rsidR="00E423D2">
              <w:t xml:space="preserve"> til niveau 2-regler</w:t>
            </w:r>
            <w:r w:rsidR="00B125BE">
              <w:t xml:space="preserve"> til Kommissionen</w:t>
            </w:r>
            <w:r w:rsidRPr="0003284A">
              <w:t>.</w:t>
            </w:r>
            <w:r w:rsidR="00AB4415">
              <w:t xml:space="preserve"> </w:t>
            </w:r>
          </w:p>
          <w:p w14:paraId="0BCC588A" w14:textId="77777777" w:rsidR="000D386B" w:rsidRPr="0003284A" w:rsidRDefault="000D386B" w:rsidP="0003284A"/>
          <w:p w14:paraId="5BB02F35" w14:textId="77777777" w:rsidR="00244ED7" w:rsidRDefault="001206F6" w:rsidP="0003284A">
            <w:r w:rsidRPr="00317241">
              <w:t>Retningslinjerne om</w:t>
            </w:r>
            <w:r w:rsidR="00244ED7" w:rsidRPr="00317241">
              <w:t xml:space="preserve">handler: </w:t>
            </w:r>
          </w:p>
          <w:p w14:paraId="59A4D075" w14:textId="77777777" w:rsidR="007C07BA" w:rsidRPr="00317241" w:rsidRDefault="007C07BA" w:rsidP="0003284A"/>
          <w:p w14:paraId="6B998E49" w14:textId="3916D5E6" w:rsidR="0003284A" w:rsidRPr="00317241" w:rsidRDefault="006F4888" w:rsidP="006F4888">
            <w:r w:rsidRPr="00317241">
              <w:t xml:space="preserve">i) </w:t>
            </w:r>
            <w:r w:rsidR="001B50C8" w:rsidRPr="00317241">
              <w:t>E</w:t>
            </w:r>
            <w:r w:rsidR="00093DBF" w:rsidRPr="00317241">
              <w:t>stimat</w:t>
            </w:r>
            <w:r w:rsidR="00707CB7" w:rsidRPr="00317241">
              <w:t>et</w:t>
            </w:r>
            <w:r w:rsidR="00093DBF" w:rsidRPr="00317241">
              <w:t xml:space="preserve"> for samlede årlige omkostninger og tab forårsaget af </w:t>
            </w:r>
            <w:r w:rsidR="00FA21F0" w:rsidRPr="00317241">
              <w:t xml:space="preserve">væsentlige ICT-relaterede </w:t>
            </w:r>
            <w:r w:rsidR="00707CB7" w:rsidRPr="00317241">
              <w:t>hændelser under</w:t>
            </w:r>
            <w:r w:rsidR="001206F6" w:rsidRPr="00317241">
              <w:t xml:space="preserve"> </w:t>
            </w:r>
            <w:r w:rsidR="00FA21F0" w:rsidRPr="00317241">
              <w:t>DORA</w:t>
            </w:r>
            <w:r w:rsidR="00707CB7" w:rsidRPr="00317241">
              <w:t xml:space="preserve">, som skal kunne indberettes til </w:t>
            </w:r>
            <w:r w:rsidRPr="00317241">
              <w:t>myndighederne på forespørgsel</w:t>
            </w:r>
            <w:r w:rsidR="00707CB7" w:rsidRPr="00317241">
              <w:t>.</w:t>
            </w:r>
            <w:r w:rsidR="001215AD" w:rsidRPr="00317241">
              <w:t xml:space="preserve"> </w:t>
            </w:r>
            <w:r w:rsidR="000976C3">
              <w:t>Disse r</w:t>
            </w:r>
            <w:r w:rsidR="001215AD" w:rsidRPr="00317241">
              <w:t xml:space="preserve">etningslinjer </w:t>
            </w:r>
            <w:r w:rsidR="001B50C8" w:rsidRPr="00317241">
              <w:t>forventes anvendt fra den 17. januar 2025</w:t>
            </w:r>
            <w:r w:rsidR="00EF4DBB">
              <w:t xml:space="preserve"> samtidig med ikrafttræden af DORA</w:t>
            </w:r>
            <w:r w:rsidR="001B50C8" w:rsidRPr="00317241">
              <w:t>.</w:t>
            </w:r>
          </w:p>
          <w:p w14:paraId="5FCE1861" w14:textId="5D087853" w:rsidR="001B50C8" w:rsidRPr="00317241" w:rsidRDefault="001B50C8" w:rsidP="006F4888">
            <w:r w:rsidRPr="00317241">
              <w:t xml:space="preserve">ii) </w:t>
            </w:r>
            <w:r w:rsidR="0072252E" w:rsidRPr="00317241">
              <w:t xml:space="preserve">Samarbejde og informationsudveksling mellem ESA’erne og </w:t>
            </w:r>
            <w:r w:rsidR="000D386B" w:rsidRPr="00317241">
              <w:t>de nationale myndigheder. Disse retningslinjer henvender sig således ikke til virksomhederne.</w:t>
            </w:r>
          </w:p>
          <w:p w14:paraId="57DF1D18" w14:textId="77777777" w:rsidR="001206F6" w:rsidRDefault="001206F6" w:rsidP="0003284A"/>
          <w:p w14:paraId="6CB97C0A" w14:textId="14E925AB" w:rsidR="00130800" w:rsidRPr="00130800" w:rsidRDefault="00130800" w:rsidP="00130800">
            <w:r w:rsidRPr="00130800">
              <w:t>Pakken</w:t>
            </w:r>
            <w:r w:rsidR="00E423D2">
              <w:t xml:space="preserve"> fra ESA’erne</w:t>
            </w:r>
            <w:r w:rsidRPr="00130800">
              <w:t xml:space="preserve"> </w:t>
            </w:r>
            <w:r>
              <w:t>omhandler mere generelt</w:t>
            </w:r>
            <w:r w:rsidRPr="00130800">
              <w:t xml:space="preserve"> rapporteringsrammen for IKT-relaterede hændelser (klarhed i rapporteringen, skabeloner) og trusselsbaserede penetrationstests, samtidig med at der indføres </w:t>
            </w:r>
            <w:r w:rsidRPr="00130800">
              <w:lastRenderedPageBreak/>
              <w:t>krav til udformningen af tilsynsrammen.</w:t>
            </w:r>
            <w:r w:rsidR="00D74119">
              <w:t xml:space="preserve"> </w:t>
            </w:r>
            <w:r w:rsidR="00686C63">
              <w:t xml:space="preserve">Udkastene til niveau 2-regler skal </w:t>
            </w:r>
            <w:r w:rsidR="000A7886">
              <w:t xml:space="preserve">igennem yderligere procedurer i </w:t>
            </w:r>
            <w:r w:rsidR="00686C63">
              <w:t>Kommissionen</w:t>
            </w:r>
            <w:r w:rsidR="000A7886">
              <w:t xml:space="preserve">, </w:t>
            </w:r>
            <w:r w:rsidR="00686C63">
              <w:t>Parlamentet og Rådet</w:t>
            </w:r>
            <w:r w:rsidR="000A7886">
              <w:t xml:space="preserve">, inden </w:t>
            </w:r>
            <w:r w:rsidR="00E901C7">
              <w:t>de er endelige.</w:t>
            </w:r>
          </w:p>
          <w:p w14:paraId="0CF23907" w14:textId="77777777" w:rsidR="00130800" w:rsidRPr="00FA21F0" w:rsidRDefault="00130800" w:rsidP="0003284A"/>
          <w:p w14:paraId="78B1CB23" w14:textId="1ABE0677" w:rsidR="0003284A" w:rsidRPr="0003284A" w:rsidRDefault="0003284A" w:rsidP="0003284A">
            <w:r w:rsidRPr="0003284A">
              <w:t>(Offentliggjort den 17. juli 2024</w:t>
            </w:r>
            <w:r w:rsidR="00FC6351">
              <w:t xml:space="preserve">, </w:t>
            </w:r>
            <w:hyperlink r:id="rId8" w:history="1">
              <w:r w:rsidR="00FC6351" w:rsidRPr="00FC6351">
                <w:rPr>
                  <w:rStyle w:val="Hyperlink"/>
                </w:rPr>
                <w:t>link</w:t>
              </w:r>
            </w:hyperlink>
            <w:r w:rsidR="00FC6351">
              <w:t>)</w:t>
            </w:r>
          </w:p>
          <w:p w14:paraId="29E632A3" w14:textId="77777777" w:rsidR="00BE4C01" w:rsidRDefault="00BE4C01"/>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0"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D90"/>
    <w:multiLevelType w:val="hybridMultilevel"/>
    <w:tmpl w:val="CEF2B078"/>
    <w:lvl w:ilvl="0" w:tplc="166C932E">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1"/>
  </w:num>
  <w:num w:numId="2" w16cid:durableId="163428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3284A"/>
    <w:rsid w:val="00093DBF"/>
    <w:rsid w:val="000976C3"/>
    <w:rsid w:val="000A7886"/>
    <w:rsid w:val="000D386B"/>
    <w:rsid w:val="00105543"/>
    <w:rsid w:val="001163B2"/>
    <w:rsid w:val="001206F6"/>
    <w:rsid w:val="001215AD"/>
    <w:rsid w:val="00130800"/>
    <w:rsid w:val="00136D9B"/>
    <w:rsid w:val="001500A6"/>
    <w:rsid w:val="001B50C8"/>
    <w:rsid w:val="001D2801"/>
    <w:rsid w:val="00244ED7"/>
    <w:rsid w:val="00265438"/>
    <w:rsid w:val="002A7D16"/>
    <w:rsid w:val="002B6B87"/>
    <w:rsid w:val="00317241"/>
    <w:rsid w:val="00344CB3"/>
    <w:rsid w:val="003B7D51"/>
    <w:rsid w:val="00427ED3"/>
    <w:rsid w:val="0045749D"/>
    <w:rsid w:val="004D740B"/>
    <w:rsid w:val="00533C93"/>
    <w:rsid w:val="005945AC"/>
    <w:rsid w:val="005C2158"/>
    <w:rsid w:val="00685B2F"/>
    <w:rsid w:val="00686C63"/>
    <w:rsid w:val="006C0074"/>
    <w:rsid w:val="006F25EE"/>
    <w:rsid w:val="006F4888"/>
    <w:rsid w:val="006F693D"/>
    <w:rsid w:val="00707CB7"/>
    <w:rsid w:val="0072252E"/>
    <w:rsid w:val="007C07BA"/>
    <w:rsid w:val="00800F05"/>
    <w:rsid w:val="009911B9"/>
    <w:rsid w:val="00A97075"/>
    <w:rsid w:val="00AB4415"/>
    <w:rsid w:val="00AC3B4A"/>
    <w:rsid w:val="00B125BE"/>
    <w:rsid w:val="00BC1F31"/>
    <w:rsid w:val="00BE1F05"/>
    <w:rsid w:val="00BE4C01"/>
    <w:rsid w:val="00C21A39"/>
    <w:rsid w:val="00C47660"/>
    <w:rsid w:val="00D120EC"/>
    <w:rsid w:val="00D74119"/>
    <w:rsid w:val="00DD48DD"/>
    <w:rsid w:val="00E423D2"/>
    <w:rsid w:val="00E901C7"/>
    <w:rsid w:val="00EF4DBB"/>
    <w:rsid w:val="00F00822"/>
    <w:rsid w:val="00F10BC1"/>
    <w:rsid w:val="00F57C39"/>
    <w:rsid w:val="00FA21F0"/>
    <w:rsid w:val="00FA3573"/>
    <w:rsid w:val="00FC63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EE"/>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6F2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press-news/esma-news/esas-published-second-batch-policy-products-under-dor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cas@capitallawcph.dk"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3.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306</Words>
  <Characters>1872</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36</cp:revision>
  <dcterms:created xsi:type="dcterms:W3CDTF">2024-07-03T12:10:00Z</dcterms:created>
  <dcterms:modified xsi:type="dcterms:W3CDTF">2024-08-05T10:13:00Z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