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0835" w14:textId="77777777" w:rsidR="00BE4C01" w:rsidRPr="008A1C76" w:rsidRDefault="00BE4C01" w:rsidP="00BE4C01">
      <w:pPr>
        <w:jc w:val="both"/>
        <w:rPr>
          <w:sz w:val="28"/>
          <w:szCs w:val="28"/>
        </w:rPr>
      </w:pPr>
      <w:r>
        <w:rPr>
          <w:sz w:val="28"/>
          <w:szCs w:val="28"/>
        </w:rPr>
        <w:t>N</w:t>
      </w:r>
      <w:r w:rsidRPr="008A1C76">
        <w:rPr>
          <w:sz w:val="28"/>
          <w:szCs w:val="28"/>
        </w:rPr>
        <w:t>y finansiel regulering</w:t>
      </w:r>
      <w:r>
        <w:rPr>
          <w:sz w:val="28"/>
          <w:szCs w:val="28"/>
        </w:rPr>
        <w:t xml:space="preserve"> for fondsmæglerselskaber</w:t>
      </w:r>
      <w:r w:rsidRPr="008A1C76">
        <w:rPr>
          <w:sz w:val="28"/>
          <w:szCs w:val="28"/>
        </w:rPr>
        <w:t xml:space="preserve"> </w:t>
      </w:r>
    </w:p>
    <w:p w14:paraId="300EB7E4" w14:textId="71003AB8" w:rsidR="00BE4C01" w:rsidRDefault="00BE4C01" w:rsidP="00BE4C01">
      <w:pPr>
        <w:jc w:val="both"/>
      </w:pPr>
      <w:r>
        <w:t>O</w:t>
      </w:r>
      <w:r w:rsidRPr="005A5267">
        <w:t xml:space="preserve">pdatering for </w:t>
      </w:r>
      <w:r w:rsidR="00CE5563">
        <w:t>januar</w:t>
      </w:r>
      <w:r w:rsidRPr="005A5267">
        <w:t xml:space="preserve"> </w:t>
      </w:r>
      <w:r>
        <w:t xml:space="preserve">måned </w:t>
      </w:r>
      <w:r w:rsidRPr="005A5267">
        <w:t>202</w:t>
      </w:r>
      <w:r w:rsidR="00CE5563">
        <w:t>4</w:t>
      </w:r>
    </w:p>
    <w:p w14:paraId="4FC69AF0" w14:textId="77777777" w:rsidR="00DD48DD" w:rsidRDefault="00DD48DD"/>
    <w:tbl>
      <w:tblPr>
        <w:tblStyle w:val="Tabel-Gitter"/>
        <w:tblW w:w="0" w:type="auto"/>
        <w:tblLook w:val="04A0" w:firstRow="1" w:lastRow="0" w:firstColumn="1" w:lastColumn="0" w:noHBand="0" w:noVBand="1"/>
      </w:tblPr>
      <w:tblGrid>
        <w:gridCol w:w="9628"/>
      </w:tblGrid>
      <w:tr w:rsidR="00BE4C01" w14:paraId="00166C89" w14:textId="77777777" w:rsidTr="0045749D">
        <w:tc>
          <w:tcPr>
            <w:tcW w:w="9628" w:type="dxa"/>
            <w:shd w:val="clear" w:color="auto" w:fill="D9D9D9" w:themeFill="background1" w:themeFillShade="D9"/>
          </w:tcPr>
          <w:p w14:paraId="6AB36AD5" w14:textId="79E26B0B" w:rsidR="00BE4C01" w:rsidRPr="005945AC" w:rsidRDefault="005945AC">
            <w:pPr>
              <w:rPr>
                <w:b/>
                <w:bCs/>
              </w:rPr>
            </w:pPr>
            <w:r w:rsidRPr="005945AC">
              <w:rPr>
                <w:b/>
                <w:bCs/>
              </w:rPr>
              <w:t>OVERBLIK</w:t>
            </w:r>
          </w:p>
        </w:tc>
      </w:tr>
      <w:tr w:rsidR="00BE4C01" w14:paraId="19A8CD66" w14:textId="77777777" w:rsidTr="00BE4C01">
        <w:tc>
          <w:tcPr>
            <w:tcW w:w="9628" w:type="dxa"/>
          </w:tcPr>
          <w:p w14:paraId="5FD2B8C1" w14:textId="77777777" w:rsidR="00BE4C01" w:rsidRDefault="00BE4C01"/>
          <w:p w14:paraId="60CD7486" w14:textId="7415A189" w:rsidR="008B364E" w:rsidRDefault="007648FD">
            <w:r>
              <w:t>Ændringer i Kommissionens liste over højrisikolande</w:t>
            </w:r>
            <w:r w:rsidR="00421CBF">
              <w:t xml:space="preserve"> efter hvidvaskreglerne</w:t>
            </w:r>
            <w:r w:rsidR="00667EDC">
              <w:t xml:space="preserve">: </w:t>
            </w:r>
            <w:hyperlink w:anchor="A" w:history="1">
              <w:r w:rsidR="008B364E" w:rsidRPr="008B364E">
                <w:rPr>
                  <w:rStyle w:val="Hyperlink"/>
                </w:rPr>
                <w:t>link</w:t>
              </w:r>
            </w:hyperlink>
          </w:p>
          <w:p w14:paraId="61027890" w14:textId="77777777" w:rsidR="002418D8" w:rsidRDefault="002418D8"/>
          <w:p w14:paraId="441CDD58" w14:textId="6B1A2F41" w:rsidR="007648FD" w:rsidRDefault="002418D8">
            <w:r>
              <w:t xml:space="preserve">Fælles tilsynsaktion vedrørende førhandelskontrol: </w:t>
            </w:r>
            <w:hyperlink w:anchor="B" w:history="1">
              <w:r w:rsidRPr="002418D8">
                <w:rPr>
                  <w:rStyle w:val="Hyperlink"/>
                </w:rPr>
                <w:t>link</w:t>
              </w:r>
            </w:hyperlink>
            <w:r w:rsidR="007648FD">
              <w:t xml:space="preserve"> </w:t>
            </w:r>
          </w:p>
          <w:p w14:paraId="774E809C" w14:textId="77777777" w:rsidR="007648FD" w:rsidRDefault="007648FD"/>
        </w:tc>
      </w:tr>
      <w:tr w:rsidR="00BE4C01" w14:paraId="531CF982" w14:textId="77777777" w:rsidTr="0045749D">
        <w:tc>
          <w:tcPr>
            <w:tcW w:w="9628" w:type="dxa"/>
            <w:shd w:val="clear" w:color="auto" w:fill="D9D9D9" w:themeFill="background1" w:themeFillShade="D9"/>
          </w:tcPr>
          <w:p w14:paraId="7BDC7261" w14:textId="6D8F2E20" w:rsidR="00BE4C01" w:rsidRPr="005945AC" w:rsidRDefault="00BE4C01" w:rsidP="00BE4C01">
            <w:pPr>
              <w:pStyle w:val="Listeafsnit"/>
              <w:numPr>
                <w:ilvl w:val="0"/>
                <w:numId w:val="1"/>
              </w:numPr>
              <w:rPr>
                <w:b/>
                <w:bCs/>
              </w:rPr>
            </w:pPr>
            <w:r w:rsidRPr="005945AC">
              <w:rPr>
                <w:b/>
                <w:bCs/>
              </w:rPr>
              <w:t>DANSK REGULERING</w:t>
            </w:r>
          </w:p>
        </w:tc>
      </w:tr>
      <w:tr w:rsidR="00BE4C01" w14:paraId="31E09EBE" w14:textId="77777777" w:rsidTr="0045749D">
        <w:tc>
          <w:tcPr>
            <w:tcW w:w="9628" w:type="dxa"/>
            <w:shd w:val="clear" w:color="auto" w:fill="D9D9D9" w:themeFill="background1" w:themeFillShade="D9"/>
          </w:tcPr>
          <w:p w14:paraId="199CDD40" w14:textId="62239D98" w:rsidR="00BE4C01" w:rsidRPr="005945AC" w:rsidRDefault="00BE4C01" w:rsidP="00BE4C01">
            <w:pPr>
              <w:pStyle w:val="Listeafsnit"/>
              <w:numPr>
                <w:ilvl w:val="1"/>
                <w:numId w:val="1"/>
              </w:numPr>
              <w:rPr>
                <w:b/>
                <w:bCs/>
              </w:rPr>
            </w:pPr>
            <w:r w:rsidRPr="005945AC">
              <w:rPr>
                <w:b/>
                <w:bCs/>
              </w:rPr>
              <w:t xml:space="preserve"> Love</w:t>
            </w:r>
          </w:p>
        </w:tc>
      </w:tr>
      <w:tr w:rsidR="00BE4C01" w14:paraId="786DA9D6" w14:textId="77777777" w:rsidTr="00BE4C01">
        <w:tc>
          <w:tcPr>
            <w:tcW w:w="9628" w:type="dxa"/>
          </w:tcPr>
          <w:p w14:paraId="446859D0" w14:textId="77777777" w:rsidR="00BE4C01" w:rsidRDefault="00BE4C01"/>
          <w:p w14:paraId="083E7F5D" w14:textId="77777777" w:rsidR="00271B72" w:rsidRPr="00271B72" w:rsidRDefault="00271B72" w:rsidP="00271B72">
            <w:r w:rsidRPr="00271B72">
              <w:t>(Intet nyt)</w:t>
            </w:r>
          </w:p>
          <w:p w14:paraId="1136A53C" w14:textId="77777777" w:rsidR="00271B72" w:rsidRDefault="00271B72"/>
        </w:tc>
      </w:tr>
      <w:tr w:rsidR="00BE4C01" w14:paraId="46B86ADE" w14:textId="77777777" w:rsidTr="0045749D">
        <w:tc>
          <w:tcPr>
            <w:tcW w:w="9628" w:type="dxa"/>
            <w:shd w:val="clear" w:color="auto" w:fill="D9D9D9" w:themeFill="background1" w:themeFillShade="D9"/>
          </w:tcPr>
          <w:p w14:paraId="22197C0B" w14:textId="3757CD86" w:rsidR="00BE4C01" w:rsidRPr="005945AC" w:rsidRDefault="00BE4C01" w:rsidP="00BE4C01">
            <w:pPr>
              <w:pStyle w:val="Listeafsnit"/>
              <w:numPr>
                <w:ilvl w:val="1"/>
                <w:numId w:val="1"/>
              </w:numPr>
              <w:rPr>
                <w:b/>
                <w:bCs/>
              </w:rPr>
            </w:pPr>
            <w:r w:rsidRPr="005945AC">
              <w:rPr>
                <w:b/>
                <w:bCs/>
              </w:rPr>
              <w:t>Bekendtgørelse</w:t>
            </w:r>
            <w:r w:rsidR="00136D9B">
              <w:rPr>
                <w:b/>
                <w:bCs/>
              </w:rPr>
              <w:t>r</w:t>
            </w:r>
            <w:r w:rsidRPr="005945AC">
              <w:rPr>
                <w:b/>
                <w:bCs/>
              </w:rPr>
              <w:t xml:space="preserve"> m.v.</w:t>
            </w:r>
          </w:p>
        </w:tc>
      </w:tr>
      <w:tr w:rsidR="00BE4C01" w14:paraId="159B5602" w14:textId="77777777" w:rsidTr="00BE4C01">
        <w:tc>
          <w:tcPr>
            <w:tcW w:w="9628" w:type="dxa"/>
          </w:tcPr>
          <w:p w14:paraId="37634A1D" w14:textId="77777777" w:rsidR="00BE4C01" w:rsidRDefault="00BE4C01"/>
          <w:p w14:paraId="3AF97DE7" w14:textId="77777777" w:rsidR="00271B72" w:rsidRPr="00271B72" w:rsidRDefault="00271B72" w:rsidP="00271B72">
            <w:r w:rsidRPr="00271B72">
              <w:t>(Intet nyt)</w:t>
            </w:r>
          </w:p>
          <w:p w14:paraId="2BE89B52" w14:textId="77777777" w:rsidR="00271B72" w:rsidRDefault="00271B72"/>
        </w:tc>
      </w:tr>
      <w:tr w:rsidR="00BE4C01" w14:paraId="2E8F680D" w14:textId="77777777" w:rsidTr="0045749D">
        <w:tc>
          <w:tcPr>
            <w:tcW w:w="9628" w:type="dxa"/>
            <w:shd w:val="clear" w:color="auto" w:fill="D9D9D9" w:themeFill="background1" w:themeFillShade="D9"/>
          </w:tcPr>
          <w:p w14:paraId="033F4D91" w14:textId="215F6731" w:rsidR="00BE4C01" w:rsidRPr="005945AC" w:rsidRDefault="00BE4C01" w:rsidP="00BE4C01">
            <w:pPr>
              <w:pStyle w:val="Listeafsnit"/>
              <w:numPr>
                <w:ilvl w:val="0"/>
                <w:numId w:val="1"/>
              </w:numPr>
              <w:rPr>
                <w:b/>
                <w:bCs/>
              </w:rPr>
            </w:pPr>
            <w:r w:rsidRPr="005945AC">
              <w:rPr>
                <w:b/>
                <w:bCs/>
              </w:rPr>
              <w:t>EU-REGULERING (forordninger)</w:t>
            </w:r>
          </w:p>
        </w:tc>
      </w:tr>
      <w:tr w:rsidR="00BE4C01" w14:paraId="6AF8D239" w14:textId="77777777" w:rsidTr="0045749D">
        <w:tc>
          <w:tcPr>
            <w:tcW w:w="9628" w:type="dxa"/>
            <w:shd w:val="clear" w:color="auto" w:fill="D9D9D9" w:themeFill="background1" w:themeFillShade="D9"/>
          </w:tcPr>
          <w:p w14:paraId="0C426A68" w14:textId="017C4220" w:rsidR="00BE4C01" w:rsidRPr="005945AC" w:rsidRDefault="00BE4C01" w:rsidP="00BE4C01">
            <w:pPr>
              <w:pStyle w:val="Listeafsnit"/>
              <w:numPr>
                <w:ilvl w:val="1"/>
                <w:numId w:val="1"/>
              </w:numPr>
              <w:rPr>
                <w:b/>
                <w:bCs/>
              </w:rPr>
            </w:pPr>
            <w:r w:rsidRPr="005945AC">
              <w:rPr>
                <w:b/>
                <w:bCs/>
              </w:rPr>
              <w:t>Niveau 1</w:t>
            </w:r>
          </w:p>
        </w:tc>
      </w:tr>
      <w:tr w:rsidR="00BE4C01" w14:paraId="1DF6C69F" w14:textId="77777777" w:rsidTr="00BE4C01">
        <w:tc>
          <w:tcPr>
            <w:tcW w:w="9628" w:type="dxa"/>
          </w:tcPr>
          <w:p w14:paraId="17654F84" w14:textId="77777777" w:rsidR="00BE4C01" w:rsidRDefault="00BE4C01"/>
          <w:p w14:paraId="2FEB5DCD" w14:textId="77777777" w:rsidR="00271B72" w:rsidRPr="00271B72" w:rsidRDefault="00271B72" w:rsidP="00271B72">
            <w:r w:rsidRPr="00271B72">
              <w:t>(Intet nyt)</w:t>
            </w:r>
          </w:p>
          <w:p w14:paraId="010E559B" w14:textId="77777777" w:rsidR="00271B72" w:rsidRDefault="00271B72"/>
        </w:tc>
      </w:tr>
      <w:tr w:rsidR="00BE4C01" w14:paraId="33726393" w14:textId="77777777" w:rsidTr="0045749D">
        <w:tc>
          <w:tcPr>
            <w:tcW w:w="9628" w:type="dxa"/>
            <w:shd w:val="clear" w:color="auto" w:fill="D9D9D9" w:themeFill="background1" w:themeFillShade="D9"/>
          </w:tcPr>
          <w:p w14:paraId="5443431C" w14:textId="42CA405D" w:rsidR="00BE4C01" w:rsidRPr="005945AC" w:rsidRDefault="00BE4C01" w:rsidP="00BE4C01">
            <w:pPr>
              <w:pStyle w:val="Listeafsnit"/>
              <w:numPr>
                <w:ilvl w:val="1"/>
                <w:numId w:val="1"/>
              </w:numPr>
              <w:rPr>
                <w:b/>
                <w:bCs/>
              </w:rPr>
            </w:pPr>
            <w:r w:rsidRPr="005945AC">
              <w:rPr>
                <w:b/>
                <w:bCs/>
              </w:rPr>
              <w:t>Niveau 2</w:t>
            </w:r>
          </w:p>
        </w:tc>
      </w:tr>
      <w:tr w:rsidR="00BE4C01" w14:paraId="041C1121" w14:textId="77777777" w:rsidTr="00BE4C01">
        <w:tc>
          <w:tcPr>
            <w:tcW w:w="9628" w:type="dxa"/>
          </w:tcPr>
          <w:p w14:paraId="443FD660" w14:textId="77777777" w:rsidR="00BE4C01" w:rsidRDefault="00BE4C01"/>
          <w:p w14:paraId="2D71BC4F" w14:textId="77777777" w:rsidR="00F22483" w:rsidRDefault="00F22483" w:rsidP="00F22483">
            <w:pPr>
              <w:rPr>
                <w:b/>
                <w:bCs/>
              </w:rPr>
            </w:pPr>
            <w:bookmarkStart w:id="0" w:name="A"/>
            <w:r w:rsidRPr="00F22483">
              <w:rPr>
                <w:b/>
                <w:bCs/>
              </w:rPr>
              <w:t>Kommissionens delegerede forordning (EU) 2024/163 af 12. december 2023 om ændring af delegeret forordning (EU) 2016/1675 for så vidt angår fjernelse af Caymanøerne og Jordan i tabellen i bilagets punkt I</w:t>
            </w:r>
            <w:bookmarkEnd w:id="0"/>
            <w:r w:rsidRPr="00F22483">
              <w:rPr>
                <w:b/>
                <w:bCs/>
              </w:rPr>
              <w:t xml:space="preserve"> </w:t>
            </w:r>
          </w:p>
          <w:p w14:paraId="63BB6325" w14:textId="77777777" w:rsidR="008B364E" w:rsidRPr="00F22483" w:rsidRDefault="008B364E" w:rsidP="00F22483">
            <w:pPr>
              <w:rPr>
                <w:b/>
                <w:bCs/>
              </w:rPr>
            </w:pPr>
          </w:p>
          <w:p w14:paraId="7F51F664" w14:textId="77777777" w:rsidR="00F22483" w:rsidRPr="00F22483" w:rsidRDefault="00F22483" w:rsidP="00F22483">
            <w:r w:rsidRPr="00F22483">
              <w:t>Forordningen fjerner Caymanøerne og Jordan fra Kommissionens liste over højrisikolande under AMLD. Det sker på baggrund af ændrede vurderinger fra FATF.</w:t>
            </w:r>
          </w:p>
          <w:p w14:paraId="0666566A" w14:textId="77777777" w:rsidR="00F22483" w:rsidRPr="00F22483" w:rsidRDefault="00F22483" w:rsidP="00F22483">
            <w:r w:rsidRPr="00F22483">
              <w:t xml:space="preserve">(Offentliggjort den 18. januar 2024, </w:t>
            </w:r>
            <w:hyperlink r:id="rId8" w:history="1">
              <w:r w:rsidRPr="00F22483">
                <w:rPr>
                  <w:rStyle w:val="Hyperlink"/>
                </w:rPr>
                <w:t>link</w:t>
              </w:r>
            </w:hyperlink>
            <w:r w:rsidRPr="00F22483">
              <w:t xml:space="preserve">) </w:t>
            </w:r>
          </w:p>
          <w:p w14:paraId="602BEEFD" w14:textId="77777777" w:rsidR="00F22483" w:rsidRDefault="00F22483"/>
          <w:p w14:paraId="570C0B58" w14:textId="77777777" w:rsidR="00F22483" w:rsidRDefault="00F22483"/>
        </w:tc>
      </w:tr>
      <w:tr w:rsidR="00BE4C01" w14:paraId="15D16C97" w14:textId="77777777" w:rsidTr="0045749D">
        <w:tc>
          <w:tcPr>
            <w:tcW w:w="9628" w:type="dxa"/>
            <w:shd w:val="clear" w:color="auto" w:fill="D9D9D9" w:themeFill="background1" w:themeFillShade="D9"/>
          </w:tcPr>
          <w:p w14:paraId="2EAF4AB2" w14:textId="47D47A5D" w:rsidR="00BE4C01" w:rsidRPr="005945AC" w:rsidRDefault="00BE4C01" w:rsidP="00BE4C01">
            <w:pPr>
              <w:pStyle w:val="Listeafsnit"/>
              <w:numPr>
                <w:ilvl w:val="0"/>
                <w:numId w:val="1"/>
              </w:numPr>
              <w:rPr>
                <w:b/>
                <w:bCs/>
              </w:rPr>
            </w:pPr>
            <w:r w:rsidRPr="005945AC">
              <w:rPr>
                <w:b/>
                <w:bCs/>
              </w:rPr>
              <w:t>RETNINGSLINJER FRA ESA’ERNE</w:t>
            </w:r>
          </w:p>
        </w:tc>
      </w:tr>
      <w:tr w:rsidR="00BE4C01" w14:paraId="7EFB212B" w14:textId="77777777" w:rsidTr="0045749D">
        <w:tc>
          <w:tcPr>
            <w:tcW w:w="9628" w:type="dxa"/>
            <w:shd w:val="clear" w:color="auto" w:fill="D9D9D9" w:themeFill="background1" w:themeFillShade="D9"/>
          </w:tcPr>
          <w:p w14:paraId="08A36234" w14:textId="6C0B6A7D" w:rsidR="00BE4C01" w:rsidRPr="005945AC" w:rsidRDefault="00BE4C01" w:rsidP="00BE4C01">
            <w:pPr>
              <w:pStyle w:val="Listeafsnit"/>
              <w:numPr>
                <w:ilvl w:val="1"/>
                <w:numId w:val="1"/>
              </w:numPr>
              <w:rPr>
                <w:b/>
                <w:bCs/>
              </w:rPr>
            </w:pPr>
            <w:r w:rsidRPr="005945AC">
              <w:rPr>
                <w:b/>
                <w:bCs/>
              </w:rPr>
              <w:t>EBA</w:t>
            </w:r>
          </w:p>
        </w:tc>
      </w:tr>
      <w:tr w:rsidR="00BE4C01" w14:paraId="46B54A56" w14:textId="77777777" w:rsidTr="00BE4C01">
        <w:tc>
          <w:tcPr>
            <w:tcW w:w="9628" w:type="dxa"/>
          </w:tcPr>
          <w:p w14:paraId="3E2EE479" w14:textId="77777777" w:rsidR="00BE4C01" w:rsidRDefault="00BE4C01"/>
          <w:p w14:paraId="1C22E24E" w14:textId="77777777" w:rsidR="00271B72" w:rsidRPr="00271B72" w:rsidRDefault="00271B72" w:rsidP="00271B72">
            <w:r w:rsidRPr="00271B72">
              <w:t>(Intet nyt)</w:t>
            </w:r>
          </w:p>
          <w:p w14:paraId="5E1E2D1B" w14:textId="77777777" w:rsidR="00271B72" w:rsidRDefault="00271B72"/>
        </w:tc>
      </w:tr>
      <w:tr w:rsidR="00BE4C01" w14:paraId="2CFF0838" w14:textId="77777777" w:rsidTr="0045749D">
        <w:tc>
          <w:tcPr>
            <w:tcW w:w="9628" w:type="dxa"/>
            <w:shd w:val="clear" w:color="auto" w:fill="D9D9D9" w:themeFill="background1" w:themeFillShade="D9"/>
          </w:tcPr>
          <w:p w14:paraId="01FEF4B9" w14:textId="752585A1" w:rsidR="00BE4C01" w:rsidRPr="005945AC" w:rsidRDefault="00BE4C01" w:rsidP="00BE4C01">
            <w:pPr>
              <w:pStyle w:val="Listeafsnit"/>
              <w:numPr>
                <w:ilvl w:val="1"/>
                <w:numId w:val="1"/>
              </w:numPr>
              <w:rPr>
                <w:b/>
                <w:bCs/>
              </w:rPr>
            </w:pPr>
            <w:r w:rsidRPr="005945AC">
              <w:rPr>
                <w:b/>
                <w:bCs/>
              </w:rPr>
              <w:t>ESMA</w:t>
            </w:r>
          </w:p>
        </w:tc>
      </w:tr>
      <w:tr w:rsidR="00BE4C01" w14:paraId="7F315866" w14:textId="77777777" w:rsidTr="00BE4C01">
        <w:tc>
          <w:tcPr>
            <w:tcW w:w="9628" w:type="dxa"/>
          </w:tcPr>
          <w:p w14:paraId="4CF7AF2C" w14:textId="77777777" w:rsidR="00BE4C01" w:rsidRDefault="00BE4C01"/>
          <w:p w14:paraId="1D1185F4" w14:textId="77777777" w:rsidR="0060233A" w:rsidRDefault="0060233A" w:rsidP="0060233A">
            <w:pPr>
              <w:rPr>
                <w:b/>
                <w:bCs/>
              </w:rPr>
            </w:pPr>
            <w:bookmarkStart w:id="1" w:name="B"/>
            <w:r w:rsidRPr="0060233A">
              <w:rPr>
                <w:b/>
                <w:bCs/>
              </w:rPr>
              <w:t>ESMA og de kompetente nationale myndigheder koordinerer tilsynet med førhandelskontrol efter MiFID II</w:t>
            </w:r>
          </w:p>
          <w:bookmarkEnd w:id="1"/>
          <w:p w14:paraId="316EABA3" w14:textId="77777777" w:rsidR="008B364E" w:rsidRPr="0060233A" w:rsidRDefault="008B364E" w:rsidP="0060233A">
            <w:pPr>
              <w:rPr>
                <w:b/>
                <w:bCs/>
              </w:rPr>
            </w:pPr>
          </w:p>
          <w:p w14:paraId="444CA06E" w14:textId="77777777" w:rsidR="0060233A" w:rsidRPr="0060233A" w:rsidRDefault="0060233A" w:rsidP="0060233A">
            <w:r w:rsidRPr="0060233A">
              <w:t>ESMA har iværksat en fælles tilsynsaktion sammen med de nationale kompetente myndigheder med det formål at vurdere EU-investeringsselskabers gennemførelse af førhandelskontrol, når de anvender algoritmiske handelsteknikker. Den fælles tilsynsaktion vil blive gennemført i løbet af 2024.</w:t>
            </w:r>
          </w:p>
          <w:p w14:paraId="4AB37E0B" w14:textId="77777777" w:rsidR="0060233A" w:rsidRPr="0060233A" w:rsidRDefault="0060233A" w:rsidP="0060233A">
            <w:r w:rsidRPr="0060233A">
              <w:lastRenderedPageBreak/>
              <w:t xml:space="preserve">(Offentliggjort den 11. januar 2024, </w:t>
            </w:r>
            <w:hyperlink r:id="rId9" w:history="1">
              <w:r w:rsidRPr="0060233A">
                <w:rPr>
                  <w:rStyle w:val="Hyperlink"/>
                </w:rPr>
                <w:t>link</w:t>
              </w:r>
            </w:hyperlink>
            <w:r w:rsidRPr="0060233A">
              <w:t>)</w:t>
            </w:r>
          </w:p>
          <w:p w14:paraId="2FD342A5" w14:textId="77777777" w:rsidR="00F57E40" w:rsidRDefault="00F57E40"/>
          <w:p w14:paraId="29E632A3" w14:textId="77777777" w:rsidR="00F57E40" w:rsidRDefault="00F57E40"/>
        </w:tc>
      </w:tr>
    </w:tbl>
    <w:p w14:paraId="329D25E6" w14:textId="77777777" w:rsidR="00BE4C01" w:rsidRDefault="00BE4C01"/>
    <w:p w14:paraId="6BBF4DE2" w14:textId="77777777" w:rsidR="00BE4C01" w:rsidRPr="00BE4C01" w:rsidRDefault="00BE4C01" w:rsidP="00BE4C01"/>
    <w:p w14:paraId="251BD954" w14:textId="77777777" w:rsidR="00BE4C01" w:rsidRPr="00BE4C01" w:rsidRDefault="00BE4C01" w:rsidP="00BE4C01">
      <w:pPr>
        <w:rPr>
          <w:i/>
          <w:iCs/>
        </w:rPr>
      </w:pPr>
      <w:r w:rsidRPr="00BE4C01">
        <w:rPr>
          <w:i/>
          <w:iCs/>
        </w:rPr>
        <w:t xml:space="preserve">Denne oversigt over ny finansiel regulering er udvalgt af Capital Law CPH ud fra regulering, der retter sig direkte til fondsmæglerselskaber og deres holdingvirksomheder. Oversigten er en informationstjeneste og udgør ikke juridisk rådgivning, og Capital Law CPH påtager sig ikke ansvar for fejl eller mangler. </w:t>
      </w:r>
      <w:r w:rsidRPr="00BE4C01">
        <w:rPr>
          <w:noProof/>
        </w:rPr>
        <w:drawing>
          <wp:anchor distT="0" distB="0" distL="114300" distR="114300" simplePos="0" relativeHeight="251659264" behindDoc="0" locked="0" layoutInCell="1" allowOverlap="1" wp14:anchorId="7F4E4D6D" wp14:editId="79FD38D8">
            <wp:simplePos x="0" y="0"/>
            <wp:positionH relativeFrom="column">
              <wp:posOffset>-4098</wp:posOffset>
            </wp:positionH>
            <wp:positionV relativeFrom="paragraph">
              <wp:posOffset>168</wp:posOffset>
            </wp:positionV>
            <wp:extent cx="1401445" cy="1504950"/>
            <wp:effectExtent l="0" t="0" r="8255" b="0"/>
            <wp:wrapSquare wrapText="bothSides"/>
            <wp:docPr id="1686948146" name="Billede 1686948146" descr="Et billede, der indeholder person, mur, menneske,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person, mur, menneske, indendørs&#10;&#10;Automatisk genereret beskrivels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3285"/>
                    <a:stretch/>
                  </pic:blipFill>
                  <pic:spPr bwMode="auto">
                    <a:xfrm>
                      <a:off x="0" y="0"/>
                      <a:ext cx="1401445" cy="1504950"/>
                    </a:xfrm>
                    <a:prstGeom prst="rect">
                      <a:avLst/>
                    </a:prstGeom>
                    <a:noFill/>
                    <a:ln>
                      <a:noFill/>
                    </a:ln>
                    <a:extLst>
                      <a:ext uri="{53640926-AAD7-44D8-BBD7-CCE9431645EC}">
                        <a14:shadowObscured xmlns:a14="http://schemas.microsoft.com/office/drawing/2010/main"/>
                      </a:ext>
                    </a:extLst>
                  </pic:spPr>
                </pic:pic>
              </a:graphicData>
            </a:graphic>
          </wp:anchor>
        </w:drawing>
      </w:r>
    </w:p>
    <w:p w14:paraId="386D39AB" w14:textId="77777777" w:rsidR="00BE4C01" w:rsidRPr="00BE4C01" w:rsidRDefault="00BE4C01" w:rsidP="00BE4C01">
      <w:pPr>
        <w:rPr>
          <w:i/>
          <w:iCs/>
        </w:rPr>
      </w:pPr>
      <w:r w:rsidRPr="00BE4C01">
        <w:rPr>
          <w:i/>
          <w:iCs/>
        </w:rPr>
        <w:t xml:space="preserve">Oversigten er redigeret af advokat og partner Camilla Søborg, </w:t>
      </w:r>
      <w:hyperlink r:id="rId11" w:history="1">
        <w:r w:rsidRPr="00BE4C01">
          <w:rPr>
            <w:rStyle w:val="Hyperlink"/>
            <w:i/>
            <w:iCs/>
          </w:rPr>
          <w:t>cas@capitallawcph.dk</w:t>
        </w:r>
      </w:hyperlink>
      <w:r w:rsidRPr="00BE4C01">
        <w:rPr>
          <w:i/>
          <w:iCs/>
        </w:rPr>
        <w:t xml:space="preserve">, tlf. 53500914, som du kan rette henvendelse til, hvis du har kommentarer eller spørgsmål. </w:t>
      </w:r>
    </w:p>
    <w:p w14:paraId="514A19E8" w14:textId="77777777" w:rsidR="00BE4C01" w:rsidRPr="00BE4C01" w:rsidRDefault="00BE4C01" w:rsidP="00BE4C01">
      <w:pPr>
        <w:rPr>
          <w:i/>
          <w:iCs/>
        </w:rPr>
      </w:pPr>
    </w:p>
    <w:p w14:paraId="22D0A962" w14:textId="77777777" w:rsidR="00BE4C01" w:rsidRPr="00BE4C01" w:rsidRDefault="00BE4C01" w:rsidP="00BE4C01">
      <w:r w:rsidRPr="00BE4C01">
        <w:rPr>
          <w:noProof/>
        </w:rPr>
        <w:drawing>
          <wp:inline distT="0" distB="0" distL="0" distR="0" wp14:anchorId="027AA631" wp14:editId="364652AF">
            <wp:extent cx="1600200" cy="304800"/>
            <wp:effectExtent l="0" t="0" r="0" b="0"/>
            <wp:docPr id="1" name="Billede 1" descr="Et billede, der indeholder tekst, skilt&#10;&#10;Automatisk genereret beskrivelse"/>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p>
    <w:p w14:paraId="39FECEBF" w14:textId="77777777" w:rsidR="00BE4C01" w:rsidRPr="00BE4C01" w:rsidRDefault="00BE4C01" w:rsidP="00BE4C01">
      <w:r w:rsidRPr="00BE4C01">
        <w:t>Capital Law CPH Advokater I/S,</w:t>
      </w:r>
      <w:r w:rsidRPr="00BE4C01">
        <w:rPr>
          <w:b/>
          <w:bCs/>
        </w:rPr>
        <w:t xml:space="preserve"> </w:t>
      </w:r>
      <w:r w:rsidRPr="00BE4C01">
        <w:t>CVR-nr. 42075000, Hellerupvej 5, DK-2900 Hellerup</w:t>
      </w:r>
    </w:p>
    <w:p w14:paraId="6AACDA41" w14:textId="77777777" w:rsidR="00BE4C01" w:rsidRDefault="00BE4C01"/>
    <w:sectPr w:rsidR="00BE4C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335C"/>
    <w:multiLevelType w:val="multilevel"/>
    <w:tmpl w:val="DCAC5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63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01"/>
    <w:rsid w:val="001163B2"/>
    <w:rsid w:val="00136D9B"/>
    <w:rsid w:val="001D2801"/>
    <w:rsid w:val="002418D8"/>
    <w:rsid w:val="00265438"/>
    <w:rsid w:val="00271B72"/>
    <w:rsid w:val="002B6B87"/>
    <w:rsid w:val="00344CB3"/>
    <w:rsid w:val="003B7D51"/>
    <w:rsid w:val="00421CBF"/>
    <w:rsid w:val="00427ED3"/>
    <w:rsid w:val="0045749D"/>
    <w:rsid w:val="004D740B"/>
    <w:rsid w:val="00533C93"/>
    <w:rsid w:val="005945AC"/>
    <w:rsid w:val="0060233A"/>
    <w:rsid w:val="00667EDC"/>
    <w:rsid w:val="006C0074"/>
    <w:rsid w:val="007648FD"/>
    <w:rsid w:val="008B364E"/>
    <w:rsid w:val="009911B9"/>
    <w:rsid w:val="00A97075"/>
    <w:rsid w:val="00BC1F31"/>
    <w:rsid w:val="00BE4C01"/>
    <w:rsid w:val="00C21A39"/>
    <w:rsid w:val="00CE5563"/>
    <w:rsid w:val="00DA6AF8"/>
    <w:rsid w:val="00DD48DD"/>
    <w:rsid w:val="00F10BC1"/>
    <w:rsid w:val="00F22483"/>
    <w:rsid w:val="00F57E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BD4"/>
  <w15:chartTrackingRefBased/>
  <w15:docId w15:val="{5B722B26-DC46-4DCD-8CA4-7CD3527A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C01"/>
    <w:rPr>
      <w:kern w:val="0"/>
      <w14:ligatures w14:val="non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E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E4C01"/>
    <w:pPr>
      <w:ind w:left="720"/>
      <w:contextualSpacing/>
    </w:pPr>
  </w:style>
  <w:style w:type="character" w:styleId="Hyperlink">
    <w:name w:val="Hyperlink"/>
    <w:basedOn w:val="Standardskrifttypeiafsnit"/>
    <w:uiPriority w:val="99"/>
    <w:unhideWhenUsed/>
    <w:rsid w:val="00BE4C01"/>
    <w:rPr>
      <w:color w:val="0563C1" w:themeColor="hyperlink"/>
      <w:u w:val="single"/>
    </w:rPr>
  </w:style>
  <w:style w:type="character" w:styleId="Ulstomtale">
    <w:name w:val="Unresolved Mention"/>
    <w:basedOn w:val="Standardskrifttypeiafsnit"/>
    <w:uiPriority w:val="99"/>
    <w:semiHidden/>
    <w:unhideWhenUsed/>
    <w:rsid w:val="00BE4C01"/>
    <w:rPr>
      <w:color w:val="605E5C"/>
      <w:shd w:val="clear" w:color="auto" w:fill="E1DFDD"/>
    </w:rPr>
  </w:style>
  <w:style w:type="character" w:styleId="BesgtLink">
    <w:name w:val="FollowedHyperlink"/>
    <w:basedOn w:val="Standardskrifttypeiafsnit"/>
    <w:uiPriority w:val="99"/>
    <w:semiHidden/>
    <w:unhideWhenUsed/>
    <w:rsid w:val="00421C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A/TXT/?uri=OJ:L_202400163"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capitallawcph.d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www.esma.europa.eu/press-news/esma-news/esma-and-ncas-coordinate-supervisory-activities-mifid-ii-pre-trade-controls"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7d2aa7-4697-4679-89a8-f7ed825373f6" xsi:nil="true"/>
    <lcf76f155ced4ddcb4097134ff3c332f xmlns="e1ad0fee-deb7-4d11-8342-64349c8749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E167DF4E06F5744B57C6F8BE5F564CB" ma:contentTypeVersion="20" ma:contentTypeDescription="Opret et nyt dokument." ma:contentTypeScope="" ma:versionID="4c9fdd3f57380a66db669e25b35dd481">
  <xsd:schema xmlns:xsd="http://www.w3.org/2001/XMLSchema" xmlns:xs="http://www.w3.org/2001/XMLSchema" xmlns:p="http://schemas.microsoft.com/office/2006/metadata/properties" xmlns:ns2="e1ad0fee-deb7-4d11-8342-64349c8749bc" xmlns:ns3="547d2aa7-4697-4679-89a8-f7ed825373f6" targetNamespace="http://schemas.microsoft.com/office/2006/metadata/properties" ma:root="true" ma:fieldsID="0701e95dae96647187809806b243026f" ns2:_="" ns3:_="">
    <xsd:import namespace="e1ad0fee-deb7-4d11-8342-64349c8749bc"/>
    <xsd:import namespace="547d2aa7-4697-4679-89a8-f7ed82537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d0fee-deb7-4d11-8342-64349c87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d399327e-dec2-4cfd-b9e4-ed826a3a2e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d2aa7-4697-4679-89a8-f7ed825373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8547f4b9-575f-4bb9-9f4d-53a5a71db9dd}" ma:internalName="TaxCatchAll" ma:showField="CatchAllData" ma:web="547d2aa7-4697-4679-89a8-f7ed82537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AF082-B58A-4F52-A56E-EC4AEF91AEFB}">
  <ds:schemaRefs>
    <ds:schemaRef ds:uri="http://schemas.microsoft.com/office/2006/metadata/properties"/>
    <ds:schemaRef ds:uri="http://schemas.microsoft.com/office/infopath/2007/PartnerControls"/>
    <ds:schemaRef ds:uri="547d2aa7-4697-4679-89a8-f7ed825373f6"/>
    <ds:schemaRef ds:uri="e1ad0fee-deb7-4d11-8342-64349c8749bc"/>
  </ds:schemaRefs>
</ds:datastoreItem>
</file>

<file path=customXml/itemProps2.xml><?xml version="1.0" encoding="utf-8"?>
<ds:datastoreItem xmlns:ds="http://schemas.openxmlformats.org/officeDocument/2006/customXml" ds:itemID="{DF44AD3D-F638-4681-B165-D4FC1736A764}">
  <ds:schemaRefs>
    <ds:schemaRef ds:uri="http://schemas.microsoft.com/sharepoint/v3/contenttype/forms"/>
  </ds:schemaRefs>
</ds:datastoreItem>
</file>

<file path=customXml/itemProps3.xml><?xml version="1.0" encoding="utf-8"?>
<ds:datastoreItem xmlns:ds="http://schemas.openxmlformats.org/officeDocument/2006/customXml" ds:itemID="{736FCDAB-AAEB-472B-BE3E-0DC6C942C168}"/>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1855</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Søborg</dc:creator>
  <cp:keywords/>
  <dc:description/>
  <cp:lastModifiedBy>Camilla Søborg</cp:lastModifiedBy>
  <cp:revision>12</cp:revision>
  <dcterms:created xsi:type="dcterms:W3CDTF">2024-02-02T10:18:00Z</dcterms:created>
  <dcterms:modified xsi:type="dcterms:W3CDTF">2024-02-02T10:28:00Z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0x0101003E167DF4E06F5744B57C6F8BE5F564CB</vt:lpwstr>
  </property>
  <property fmtid="{D5CDD505-2E9C-101B-9397-08002B2CF9AE}" pid="3" name="MediaServiceImageTags">
    <vt:lpwstr/>
  </property>
</Properties>
</file>